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9738D">
      <w:pPr>
        <w:rPr>
          <w:rFonts w:hint="eastAsia" w:ascii="黑体" w:hAnsi="黑体" w:eastAsia="黑体"/>
          <w:sz w:val="32"/>
          <w:szCs w:val="32"/>
        </w:rPr>
      </w:pPr>
    </w:p>
    <w:p w14:paraId="2E82E834">
      <w:pPr>
        <w:jc w:val="center"/>
        <w:rPr>
          <w:rFonts w:hint="eastAsia" w:ascii="方正小标宋_GBK" w:hAnsi="宋体" w:eastAsia="方正小标宋_GBK"/>
          <w:sz w:val="44"/>
          <w:szCs w:val="44"/>
        </w:rPr>
      </w:pPr>
    </w:p>
    <w:p w14:paraId="6F12CFA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木垒哈萨克自治县乡村振兴综合保障中心</w:t>
      </w:r>
    </w:p>
    <w:p w14:paraId="3FB545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842FD4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CFB245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9AD38F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56FAAD5">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7F989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B15BD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C0FA4C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F3165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50DA9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830FF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AB811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27A4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91773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3C5B8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4351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8A9D12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5C89A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BCA03D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0022E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B8944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A1D25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B21B4C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72174E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98EEC1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B03A8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647C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81BAF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93261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CD8CB6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3FF63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79E59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0ECC0A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5A77B3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52DED4E">
      <w:r>
        <w:rPr>
          <w:rFonts w:hint="eastAsia" w:ascii="仿宋_GB2312" w:hAnsi="仿宋_GB2312" w:eastAsia="仿宋_GB2312" w:cs="仿宋_GB2312"/>
          <w:sz w:val="32"/>
          <w:szCs w:val="32"/>
        </w:rPr>
        <w:fldChar w:fldCharType="end"/>
      </w:r>
    </w:p>
    <w:p w14:paraId="4DF58F65">
      <w:pPr>
        <w:rPr>
          <w:rFonts w:ascii="仿宋_GB2312" w:eastAsia="仿宋_GB2312"/>
          <w:sz w:val="32"/>
          <w:szCs w:val="32"/>
        </w:rPr>
      </w:pPr>
      <w:r>
        <w:rPr>
          <w:rFonts w:hint="eastAsia" w:ascii="仿宋_GB2312" w:eastAsia="仿宋_GB2312"/>
          <w:sz w:val="32"/>
          <w:szCs w:val="32"/>
        </w:rPr>
        <w:br w:type="page"/>
      </w:r>
    </w:p>
    <w:p w14:paraId="608AE92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C1FB11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CD04409">
      <w:pPr>
        <w:ind w:firstLine="640" w:firstLineChars="200"/>
        <w:rPr>
          <w:rFonts w:ascii="仿宋_GB2312" w:eastAsia="仿宋_GB2312"/>
          <w:sz w:val="32"/>
          <w:szCs w:val="32"/>
        </w:rPr>
      </w:pPr>
      <w:r>
        <w:rPr>
          <w:rFonts w:hint="eastAsia" w:ascii="仿宋_GB2312" w:eastAsia="仿宋_GB2312"/>
          <w:sz w:val="32"/>
          <w:szCs w:val="32"/>
        </w:rPr>
        <w:t>（一）制定和起草</w:t>
      </w:r>
      <w:r>
        <w:rPr>
          <w:rFonts w:hint="eastAsia" w:ascii="仿宋_GB2312" w:eastAsia="仿宋_GB2312"/>
          <w:sz w:val="32"/>
          <w:szCs w:val="32"/>
          <w:lang w:eastAsia="zh-CN"/>
        </w:rPr>
        <w:t>巩固拓展脱贫攻坚成果</w:t>
      </w:r>
      <w:r>
        <w:rPr>
          <w:rFonts w:hint="eastAsia" w:ascii="仿宋_GB2312" w:eastAsia="仿宋_GB2312"/>
          <w:sz w:val="32"/>
          <w:szCs w:val="32"/>
        </w:rPr>
        <w:t>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pPr>
        <w:ind w:firstLine="640" w:firstLineChars="200"/>
        <w:rPr>
          <w:rFonts w:ascii="仿宋_GB2312" w:eastAsia="仿宋_GB2312"/>
          <w:sz w:val="32"/>
          <w:szCs w:val="32"/>
        </w:rPr>
      </w:pPr>
      <w:r>
        <w:rPr>
          <w:rFonts w:hint="eastAsia" w:ascii="仿宋_GB2312" w:eastAsia="仿宋_GB2312"/>
          <w:sz w:val="32"/>
          <w:szCs w:val="32"/>
        </w:rPr>
        <w:t>（二）承担防止返贫动态监测和帮扶工作，</w:t>
      </w:r>
      <w:r>
        <w:rPr>
          <w:rFonts w:hint="eastAsia" w:ascii="仿宋_GB2312" w:eastAsia="仿宋_GB2312"/>
          <w:sz w:val="32"/>
          <w:szCs w:val="32"/>
          <w:lang w:eastAsia="zh-CN"/>
        </w:rPr>
        <w:t>监督</w:t>
      </w:r>
      <w:r>
        <w:rPr>
          <w:rFonts w:hint="eastAsia" w:ascii="仿宋_GB2312" w:eastAsia="仿宋_GB2312"/>
          <w:sz w:val="32"/>
          <w:szCs w:val="32"/>
        </w:rPr>
        <w:t>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pPr>
        <w:ind w:firstLine="640" w:firstLineChars="200"/>
        <w:rPr>
          <w:rFonts w:ascii="仿宋_GB2312" w:eastAsia="仿宋_GB2312"/>
          <w:sz w:val="32"/>
          <w:szCs w:val="32"/>
        </w:rPr>
      </w:pPr>
      <w:r>
        <w:rPr>
          <w:rFonts w:hint="eastAsia" w:ascii="仿宋_GB2312" w:eastAsia="仿宋_GB2312"/>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pPr>
        <w:ind w:firstLine="640" w:firstLineChars="200"/>
        <w:rPr>
          <w:rFonts w:ascii="仿宋_GB2312" w:eastAsia="仿宋_GB2312"/>
          <w:sz w:val="32"/>
          <w:szCs w:val="32"/>
        </w:rPr>
      </w:pPr>
      <w:r>
        <w:rPr>
          <w:rFonts w:hint="eastAsia" w:ascii="仿宋_GB2312" w:eastAsia="仿宋_GB2312"/>
          <w:sz w:val="32"/>
          <w:szCs w:val="32"/>
        </w:rPr>
        <w:t>（四）协调推进农村基本公共服务建设、农村社会事业发展各项工作；负责推进农村人居环境整治，分类有序推进农村“厕所革命”；负责积分制清单制推广应用；科学编制任务清单，建立乡村建设项目库、乡村治理试点示范行动等工作。</w:t>
      </w:r>
    </w:p>
    <w:p w14:paraId="229D9E8F">
      <w:pPr>
        <w:ind w:firstLine="640" w:firstLineChars="200"/>
        <w:rPr>
          <w:rFonts w:ascii="仿宋_GB2312" w:eastAsia="仿宋_GB2312"/>
          <w:sz w:val="32"/>
          <w:szCs w:val="32"/>
        </w:rPr>
      </w:pPr>
      <w:r>
        <w:rPr>
          <w:rFonts w:hint="eastAsia" w:ascii="仿宋_GB2312" w:eastAsia="仿宋_GB2312"/>
          <w:sz w:val="32"/>
          <w:szCs w:val="32"/>
        </w:rPr>
        <w:t>(五)完成县乡村振兴领导小组办公室交办的其他工作任。</w:t>
      </w:r>
    </w:p>
    <w:p w14:paraId="78C7880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9BA1271">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木垒哈萨克自治县乡村振兴综合保障中心2023年度，实有人数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50F63BBD">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综合办公室、监测帮扶股、项目股、乡村建设股。</w:t>
      </w:r>
    </w:p>
    <w:p w14:paraId="3C6187C7">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4A2BF0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2863771">
      <w:pPr>
        <w:ind w:firstLine="640" w:firstLineChars="200"/>
        <w:jc w:val="left"/>
        <w:rPr>
          <w:rFonts w:ascii="仿宋_GB2312" w:eastAsia="仿宋_GB2312"/>
          <w:sz w:val="32"/>
          <w:szCs w:val="32"/>
        </w:rPr>
      </w:pPr>
      <w:r>
        <w:rPr>
          <w:rFonts w:hint="eastAsia" w:ascii="仿宋_GB2312" w:eastAsia="仿宋_GB2312"/>
          <w:sz w:val="32"/>
          <w:szCs w:val="32"/>
        </w:rPr>
        <w:t>2023年度收入总计686.02万元，其中：本年收入合计686.02万元，使用非财政拨款结余0.00万元，年初结转和结余0.00万元。</w:t>
      </w:r>
    </w:p>
    <w:p w14:paraId="2209DF17">
      <w:pPr>
        <w:ind w:firstLine="640" w:firstLineChars="200"/>
        <w:jc w:val="left"/>
        <w:rPr>
          <w:rFonts w:ascii="仿宋_GB2312" w:eastAsia="仿宋_GB2312"/>
          <w:sz w:val="32"/>
          <w:szCs w:val="32"/>
        </w:rPr>
      </w:pPr>
      <w:r>
        <w:rPr>
          <w:rFonts w:hint="eastAsia" w:ascii="仿宋_GB2312" w:eastAsia="仿宋_GB2312"/>
          <w:sz w:val="32"/>
          <w:szCs w:val="32"/>
        </w:rPr>
        <w:t>2023年度支出总计686.02万元，其中：本年支出合计686.02万元，结余分配0.00万元，年末结转和结余0.00万元。</w:t>
      </w:r>
    </w:p>
    <w:p w14:paraId="6FC044B4">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增加189.28万元</w:t>
      </w:r>
      <w:r>
        <w:rPr>
          <w:rFonts w:hint="eastAsia" w:ascii="仿宋_GB2312" w:eastAsia="仿宋_GB2312"/>
          <w:sz w:val="32"/>
          <w:szCs w:val="32"/>
        </w:rPr>
        <w:t>，增长38.11%，主要原因是：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人员增加，工资、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val="en-US" w:eastAsia="zh-CN"/>
        </w:rPr>
        <w:t>增加</w:t>
      </w:r>
      <w:r>
        <w:rPr>
          <w:rFonts w:hint="eastAsia" w:ascii="仿宋_GB2312" w:eastAsia="仿宋_GB2312"/>
          <w:sz w:val="32"/>
          <w:szCs w:val="32"/>
          <w:lang w:eastAsia="zh-CN"/>
        </w:rPr>
        <w:t>、</w:t>
      </w:r>
      <w:r>
        <w:rPr>
          <w:rFonts w:hint="eastAsia" w:ascii="仿宋_GB2312" w:eastAsia="仿宋_GB2312"/>
          <w:sz w:val="32"/>
          <w:szCs w:val="32"/>
        </w:rPr>
        <w:t>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w:t>
      </w:r>
    </w:p>
    <w:p w14:paraId="3E1894F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016BC97">
      <w:pPr>
        <w:ind w:firstLine="640" w:firstLineChars="200"/>
        <w:jc w:val="left"/>
        <w:rPr>
          <w:rFonts w:ascii="仿宋_GB2312" w:eastAsia="仿宋_GB2312"/>
          <w:sz w:val="32"/>
          <w:szCs w:val="32"/>
        </w:rPr>
      </w:pPr>
      <w:r>
        <w:rPr>
          <w:rFonts w:hint="eastAsia" w:ascii="仿宋_GB2312" w:eastAsia="仿宋_GB2312"/>
          <w:sz w:val="32"/>
          <w:szCs w:val="32"/>
        </w:rPr>
        <w:t>本年收入686.02万元，其中：财政拨款收入686.02万元，占100.00%；上级补助收入0.00万元，占0.00%；事业收入0.00万元，占0.00%；经营收入0.00万元，占0.00%；附属单位上缴收入0.00万元，占0.00%；其他收入0.00万元，占0.00%。</w:t>
      </w:r>
    </w:p>
    <w:p w14:paraId="134DBAEF">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80920A4">
      <w:pPr>
        <w:ind w:firstLine="640" w:firstLineChars="200"/>
        <w:jc w:val="left"/>
        <w:rPr>
          <w:rFonts w:ascii="仿宋_GB2312" w:eastAsia="仿宋_GB2312"/>
          <w:sz w:val="32"/>
          <w:szCs w:val="32"/>
        </w:rPr>
      </w:pPr>
      <w:r>
        <w:rPr>
          <w:rFonts w:hint="eastAsia" w:ascii="仿宋_GB2312" w:eastAsia="仿宋_GB2312"/>
          <w:sz w:val="32"/>
          <w:szCs w:val="32"/>
        </w:rPr>
        <w:t>本年支出686.02万元，其中：基本支出266.08万元，占38.79%；项目支出419.94万元，占61.21%；上缴上级支出0.00万元，占0.00%；经营支出0.00万元，占0.00%；对附属单位补助支出0.00万元，占0.00%。</w:t>
      </w:r>
    </w:p>
    <w:p w14:paraId="013607C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0D5FD3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2023年度财政拨款收入总计686.02万元，其中：年初财政拨款结转和结余0.00万元，本年财政拨款收入686.02万元。财政拨款支出总计686.02万元，其中：年末财政拨款结转和结余0.00万元，本年财政拨款支出686.02万元。</w:t>
      </w:r>
    </w:p>
    <w:p w14:paraId="7C610F1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财政拨款收入支出总体与上年相比,增加189.28万元，增长38.11%,主要原因是：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人员增加，工资、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val="en-US" w:eastAsia="zh-CN"/>
        </w:rPr>
        <w:t>增加</w:t>
      </w:r>
      <w:r>
        <w:rPr>
          <w:rFonts w:hint="eastAsia" w:ascii="仿宋_GB2312" w:eastAsia="仿宋_GB2312"/>
          <w:sz w:val="32"/>
          <w:szCs w:val="32"/>
          <w:lang w:eastAsia="zh-CN"/>
        </w:rPr>
        <w:t>、</w:t>
      </w:r>
      <w:r>
        <w:rPr>
          <w:rFonts w:hint="eastAsia" w:ascii="仿宋_GB2312" w:eastAsia="仿宋_GB2312"/>
          <w:sz w:val="32"/>
          <w:szCs w:val="32"/>
        </w:rPr>
        <w:t>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。与年初预算相比，年初预算数176.00万元，决算数686.02万元，预决算差异率289.78%，主要原因是：年中追加乡村振兴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eastAsia="zh-CN"/>
        </w:rPr>
        <w:t>、</w:t>
      </w:r>
      <w:r>
        <w:rPr>
          <w:rFonts w:hint="eastAsia" w:ascii="仿宋_GB2312" w:eastAsia="仿宋_GB2312"/>
          <w:sz w:val="32"/>
          <w:szCs w:val="32"/>
        </w:rPr>
        <w:t>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w:t>
      </w:r>
      <w:r>
        <w:rPr>
          <w:rFonts w:hint="eastAsia" w:ascii="仿宋_GB2312" w:eastAsia="仿宋_GB2312"/>
          <w:sz w:val="32"/>
          <w:szCs w:val="32"/>
        </w:rPr>
        <w:t>人员增加，</w:t>
      </w:r>
      <w:r>
        <w:rPr>
          <w:rFonts w:hint="eastAsia" w:ascii="仿宋_GB2312" w:eastAsia="仿宋_GB2312"/>
          <w:sz w:val="32"/>
          <w:szCs w:val="32"/>
          <w:lang w:val="en-US" w:eastAsia="zh-CN"/>
        </w:rPr>
        <w:t>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w:t>
      </w:r>
    </w:p>
    <w:p w14:paraId="328CA2FC">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85573A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42291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2023年度一般公共预算财政拨款支出641.03万元，占本年支出合计的</w:t>
      </w:r>
      <w:r>
        <w:rPr>
          <w:rFonts w:hint="eastAsia" w:ascii="仿宋_GB2312" w:eastAsia="仿宋_GB2312"/>
          <w:sz w:val="32"/>
          <w:szCs w:val="32"/>
          <w:lang w:val="zh-CN"/>
        </w:rPr>
        <w:t>93.44%</w:t>
      </w:r>
      <w:r>
        <w:rPr>
          <w:rFonts w:hint="eastAsia" w:ascii="仿宋_GB2312" w:eastAsia="仿宋_GB2312"/>
          <w:sz w:val="32"/>
          <w:szCs w:val="32"/>
        </w:rPr>
        <w:t>。与上年相比，</w:t>
      </w:r>
      <w:r>
        <w:rPr>
          <w:rFonts w:hint="eastAsia" w:ascii="仿宋_GB2312" w:eastAsia="仿宋_GB2312"/>
          <w:sz w:val="32"/>
          <w:szCs w:val="32"/>
          <w:lang w:val="zh-CN"/>
        </w:rPr>
        <w:t>增加144.30万元</w:t>
      </w:r>
      <w:r>
        <w:rPr>
          <w:rFonts w:hint="eastAsia" w:ascii="仿宋_GB2312" w:eastAsia="仿宋_GB2312"/>
          <w:sz w:val="32"/>
          <w:szCs w:val="32"/>
        </w:rPr>
        <w:t>，增长29.05%,主要原因是：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人员增加，工资、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rPr>
        <w:t>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val="en-US" w:eastAsia="zh-CN"/>
        </w:rPr>
        <w:t>增加</w:t>
      </w:r>
      <w:r>
        <w:rPr>
          <w:rFonts w:hint="eastAsia" w:ascii="仿宋_GB2312" w:eastAsia="仿宋_GB2312"/>
          <w:sz w:val="32"/>
          <w:szCs w:val="32"/>
          <w:lang w:eastAsia="zh-CN"/>
        </w:rPr>
        <w:t>、</w:t>
      </w:r>
      <w:r>
        <w:rPr>
          <w:rFonts w:hint="eastAsia" w:ascii="仿宋_GB2312" w:eastAsia="仿宋_GB2312"/>
          <w:sz w:val="32"/>
          <w:szCs w:val="32"/>
        </w:rPr>
        <w:t>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176.00</w:t>
      </w:r>
      <w:r>
        <w:rPr>
          <w:rFonts w:hint="eastAsia" w:ascii="仿宋_GB2312" w:eastAsia="仿宋_GB2312"/>
          <w:sz w:val="32"/>
          <w:szCs w:val="32"/>
        </w:rPr>
        <w:t>万元，决算数</w:t>
      </w:r>
      <w:r>
        <w:rPr>
          <w:rFonts w:hint="eastAsia" w:ascii="仿宋_GB2312" w:eastAsia="仿宋_GB2312"/>
          <w:sz w:val="32"/>
          <w:szCs w:val="32"/>
          <w:lang w:val="zh-CN"/>
        </w:rPr>
        <w:t>641.03</w:t>
      </w:r>
      <w:r>
        <w:rPr>
          <w:rFonts w:hint="eastAsia" w:ascii="仿宋_GB2312" w:eastAsia="仿宋_GB2312"/>
          <w:sz w:val="32"/>
          <w:szCs w:val="32"/>
        </w:rPr>
        <w:t>万元，预决算差异率</w:t>
      </w:r>
      <w:r>
        <w:rPr>
          <w:rFonts w:hint="eastAsia" w:ascii="仿宋_GB2312" w:eastAsia="仿宋_GB2312"/>
          <w:sz w:val="32"/>
          <w:szCs w:val="32"/>
          <w:lang w:val="zh-CN"/>
        </w:rPr>
        <w:t>264.22%</w:t>
      </w:r>
      <w:r>
        <w:rPr>
          <w:rFonts w:hint="eastAsia" w:ascii="仿宋_GB2312" w:eastAsia="仿宋_GB2312"/>
          <w:sz w:val="32"/>
          <w:szCs w:val="32"/>
        </w:rPr>
        <w:t>，主要原因是：年中追加乡村振兴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r>
        <w:rPr>
          <w:rFonts w:hint="eastAsia" w:ascii="仿宋_GB2312" w:eastAsia="仿宋_GB2312"/>
          <w:sz w:val="32"/>
          <w:szCs w:val="32"/>
          <w:lang w:eastAsia="zh-CN"/>
        </w:rPr>
        <w:t>、</w:t>
      </w:r>
      <w:r>
        <w:rPr>
          <w:rFonts w:hint="eastAsia" w:ascii="仿宋_GB2312" w:eastAsia="仿宋_GB2312"/>
          <w:sz w:val="32"/>
          <w:szCs w:val="32"/>
        </w:rPr>
        <w:t>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w:t>
      </w:r>
      <w:r>
        <w:rPr>
          <w:rFonts w:hint="eastAsia" w:ascii="仿宋_GB2312" w:eastAsia="仿宋_GB2312"/>
          <w:sz w:val="32"/>
          <w:szCs w:val="32"/>
        </w:rPr>
        <w:t>人员增加，</w:t>
      </w:r>
      <w:r>
        <w:rPr>
          <w:rFonts w:hint="eastAsia" w:ascii="仿宋_GB2312" w:eastAsia="仿宋_GB2312"/>
          <w:sz w:val="32"/>
          <w:szCs w:val="32"/>
          <w:lang w:val="en-US" w:eastAsia="zh-CN"/>
        </w:rPr>
        <w:t>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w:t>
      </w:r>
    </w:p>
    <w:p w14:paraId="422FB21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7C4D923">
      <w:pPr>
        <w:ind w:firstLine="640" w:firstLineChars="200"/>
        <w:jc w:val="left"/>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.社会保障和就业支出（类）</w:t>
      </w:r>
      <w:r>
        <w:rPr>
          <w:rFonts w:hint="eastAsia" w:ascii="仿宋_GB2312" w:eastAsia="仿宋_GB2312"/>
          <w:sz w:val="32"/>
          <w:szCs w:val="32"/>
        </w:rPr>
        <w:t>14.47</w:t>
      </w:r>
      <w:r>
        <w:rPr>
          <w:rFonts w:ascii="仿宋_GB2312" w:eastAsia="仿宋_GB2312"/>
          <w:sz w:val="32"/>
          <w:szCs w:val="32"/>
        </w:rPr>
        <w:t>万元，占</w:t>
      </w:r>
      <w:r>
        <w:rPr>
          <w:rFonts w:hint="eastAsia" w:ascii="仿宋_GB2312" w:eastAsia="仿宋_GB2312"/>
          <w:sz w:val="32"/>
          <w:szCs w:val="32"/>
        </w:rPr>
        <w:t>2.26</w:t>
      </w:r>
      <w:r>
        <w:rPr>
          <w:rFonts w:ascii="仿宋_GB2312" w:eastAsia="仿宋_GB2312"/>
          <w:sz w:val="32"/>
          <w:szCs w:val="32"/>
        </w:rPr>
        <w:t>%；</w:t>
      </w:r>
    </w:p>
    <w:p w14:paraId="331E8F52">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.农林水支出（类）</w:t>
      </w:r>
      <w:r>
        <w:rPr>
          <w:rFonts w:hint="eastAsia" w:ascii="仿宋_GB2312" w:eastAsia="仿宋_GB2312"/>
          <w:sz w:val="32"/>
          <w:szCs w:val="32"/>
        </w:rPr>
        <w:t>616.89</w:t>
      </w:r>
      <w:r>
        <w:rPr>
          <w:rFonts w:ascii="仿宋_GB2312" w:eastAsia="仿宋_GB2312"/>
          <w:sz w:val="32"/>
          <w:szCs w:val="32"/>
        </w:rPr>
        <w:t>万元，占</w:t>
      </w:r>
      <w:r>
        <w:rPr>
          <w:rFonts w:hint="eastAsia" w:ascii="仿宋_GB2312" w:eastAsia="仿宋_GB2312"/>
          <w:sz w:val="32"/>
          <w:szCs w:val="32"/>
        </w:rPr>
        <w:t>96.23</w:t>
      </w:r>
      <w:r>
        <w:rPr>
          <w:rFonts w:ascii="仿宋_GB2312" w:eastAsia="仿宋_GB2312"/>
          <w:sz w:val="32"/>
          <w:szCs w:val="32"/>
        </w:rPr>
        <w:t>%；</w:t>
      </w:r>
    </w:p>
    <w:p w14:paraId="30231DA0">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9.67</w:t>
      </w:r>
      <w:r>
        <w:rPr>
          <w:rFonts w:ascii="仿宋_GB2312" w:eastAsia="仿宋_GB2312"/>
          <w:sz w:val="32"/>
          <w:szCs w:val="32"/>
        </w:rPr>
        <w:t>万元，占</w:t>
      </w:r>
      <w:r>
        <w:rPr>
          <w:rFonts w:hint="eastAsia" w:ascii="仿宋_GB2312" w:eastAsia="仿宋_GB2312"/>
          <w:sz w:val="32"/>
          <w:szCs w:val="32"/>
        </w:rPr>
        <w:t>1.51</w:t>
      </w:r>
      <w:r>
        <w:rPr>
          <w:rFonts w:ascii="仿宋_GB2312" w:eastAsia="仿宋_GB2312"/>
          <w:sz w:val="32"/>
          <w:szCs w:val="32"/>
        </w:rPr>
        <w:t>%</w:t>
      </w:r>
      <w:r>
        <w:rPr>
          <w:rFonts w:hint="eastAsia" w:ascii="仿宋_GB2312" w:eastAsia="仿宋_GB2312"/>
          <w:sz w:val="32"/>
          <w:szCs w:val="32"/>
        </w:rPr>
        <w:t>。</w:t>
      </w:r>
    </w:p>
    <w:p w14:paraId="2A4A70E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4D91DC4">
      <w:pPr>
        <w:ind w:firstLine="640" w:firstLineChars="200"/>
        <w:jc w:val="left"/>
        <w:rPr>
          <w:rFonts w:ascii="仿宋_GB2312" w:eastAsia="仿宋_GB2312"/>
          <w:sz w:val="32"/>
          <w:szCs w:val="32"/>
        </w:rPr>
      </w:pPr>
      <w:r>
        <w:rPr>
          <w:rFonts w:hint="eastAsia" w:ascii="仿宋_GB2312" w:eastAsia="仿宋_GB2312"/>
          <w:sz w:val="32"/>
          <w:szCs w:val="32"/>
        </w:rPr>
        <w:t>1.农林水支出（类）农业农村（款）事业运行（项）:支出决算数为241.94万元，比上年决算增加143.12万元，增长144.83%，主要原因是：</w:t>
      </w:r>
      <w:r>
        <w:rPr>
          <w:rFonts w:hint="eastAsia" w:ascii="仿宋_GB2312" w:eastAsia="仿宋_GB2312"/>
          <w:sz w:val="32"/>
          <w:szCs w:val="32"/>
          <w:lang w:val="en-US" w:eastAsia="zh-CN"/>
        </w:rPr>
        <w:t>单位本年</w:t>
      </w:r>
      <w:r>
        <w:rPr>
          <w:rFonts w:hint="eastAsia" w:ascii="仿宋_GB2312" w:eastAsia="仿宋_GB2312"/>
          <w:sz w:val="32"/>
          <w:szCs w:val="32"/>
        </w:rPr>
        <w:t>人员增加，工资、</w:t>
      </w:r>
      <w:r>
        <w:rPr>
          <w:rFonts w:hint="eastAsia" w:ascii="仿宋_GB2312" w:eastAsia="仿宋_GB2312"/>
          <w:sz w:val="32"/>
          <w:szCs w:val="32"/>
          <w:lang w:val="en-US" w:eastAsia="zh-CN"/>
        </w:rPr>
        <w:t>津贴补贴、奖金等相关人员经费</w:t>
      </w:r>
      <w:r>
        <w:rPr>
          <w:rFonts w:hint="eastAsia" w:ascii="仿宋_GB2312" w:eastAsia="仿宋_GB2312"/>
          <w:sz w:val="32"/>
          <w:szCs w:val="32"/>
        </w:rPr>
        <w:t>增加。</w:t>
      </w:r>
    </w:p>
    <w:p w14:paraId="18579A42">
      <w:pPr>
        <w:ind w:firstLine="640" w:firstLineChars="200"/>
        <w:jc w:val="left"/>
        <w:rPr>
          <w:rFonts w:ascii="仿宋_GB2312" w:eastAsia="仿宋_GB2312"/>
          <w:sz w:val="32"/>
          <w:szCs w:val="32"/>
        </w:rPr>
      </w:pPr>
      <w:r>
        <w:rPr>
          <w:rFonts w:hint="eastAsia" w:ascii="仿宋_GB2312" w:eastAsia="仿宋_GB2312"/>
          <w:sz w:val="32"/>
          <w:szCs w:val="32"/>
        </w:rPr>
        <w:t>2.农林水支出（类）巩固脱贫攻坚成果衔接乡村振兴（款）其他巩固脱贫攻坚成果衔接乡村振兴支出（项）:支出决算数为326.23万元，比上年决算增加326.23万元，增长100%，主要原因是：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本年增加对口阿图什帮扶</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73C59656">
      <w:pPr>
        <w:ind w:firstLine="640" w:firstLineChars="200"/>
        <w:jc w:val="left"/>
        <w:rPr>
          <w:rFonts w:ascii="仿宋_GB2312" w:eastAsia="仿宋_GB2312"/>
          <w:sz w:val="32"/>
          <w:szCs w:val="32"/>
        </w:rPr>
      </w:pPr>
      <w:r>
        <w:rPr>
          <w:rFonts w:hint="eastAsia" w:ascii="仿宋_GB2312" w:eastAsia="仿宋_GB2312"/>
          <w:sz w:val="32"/>
          <w:szCs w:val="32"/>
        </w:rPr>
        <w:t>3.农林水支出（类）巩固脱贫攻坚成果衔接乡村振兴（款）生产发展（项）:支出决算数为38.72万元，比上年决算增加5.40万元，增长16.21%，主要原因是：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本年增加乡村振兴</w:t>
      </w:r>
      <w:r>
        <w:rPr>
          <w:rFonts w:hint="eastAsia" w:ascii="仿宋_GB2312" w:eastAsia="仿宋_GB2312"/>
          <w:sz w:val="32"/>
          <w:szCs w:val="32"/>
          <w:lang w:val="en-US" w:eastAsia="zh-CN"/>
        </w:rPr>
        <w:t>猪</w:t>
      </w:r>
      <w:r>
        <w:rPr>
          <w:rFonts w:hint="eastAsia" w:ascii="仿宋_GB2312" w:eastAsia="仿宋_GB2312"/>
          <w:sz w:val="32"/>
          <w:szCs w:val="32"/>
        </w:rPr>
        <w:t>养殖场项目</w:t>
      </w:r>
      <w:r>
        <w:rPr>
          <w:rFonts w:hint="eastAsia" w:ascii="仿宋_GB2312" w:eastAsia="仿宋_GB2312"/>
          <w:sz w:val="32"/>
          <w:szCs w:val="32"/>
          <w:lang w:val="en-US" w:eastAsia="zh-CN"/>
        </w:rPr>
        <w:t>经</w:t>
      </w:r>
      <w:r>
        <w:rPr>
          <w:rFonts w:hint="eastAsia" w:ascii="仿宋_GB2312" w:eastAsia="仿宋_GB2312"/>
          <w:sz w:val="32"/>
          <w:szCs w:val="32"/>
        </w:rPr>
        <w:t>费。</w:t>
      </w:r>
    </w:p>
    <w:p w14:paraId="7E256291">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4.住房保障支出（类）住房改革支出（款）住房公积金（项）:支出决算数为9.67万元，比上年决算增加7.48万元，增长341.55%，主要原因是：单位本年人员增加，相应人员公积金缴费增加。</w:t>
      </w:r>
    </w:p>
    <w:p w14:paraId="7B43424B">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0.11万元，比上年决算增加0.11万元，增长100%，主要原因是：本年退休人员增加，退休人员取暖费、交通补助费用增加。</w:t>
      </w:r>
    </w:p>
    <w:p w14:paraId="5E532D8E">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6.社会保障和就业支出（类）行政事业单位养老支出（款）机关事业单位职业年金缴费支出（项）:支出决算数为0.87万元，比上年决算增加0.87万元，增长100%，主要原因是：本年退休人员一次性职业年金缴费增加。</w:t>
      </w:r>
    </w:p>
    <w:p w14:paraId="38079999">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13.49万元，比上年决算增加10.58万元，增长363.57%，主要原因是：单位本年人员增加，相应人员养老保险缴费增加。</w:t>
      </w:r>
    </w:p>
    <w:p w14:paraId="169C4379">
      <w:pPr>
        <w:ind w:firstLine="640" w:firstLineChars="200"/>
        <w:jc w:val="left"/>
        <w:rPr>
          <w:rFonts w:ascii="仿宋_GB2312" w:eastAsia="仿宋_GB2312"/>
          <w:sz w:val="32"/>
          <w:szCs w:val="32"/>
        </w:rPr>
      </w:pPr>
      <w:r>
        <w:rPr>
          <w:rFonts w:hint="eastAsia" w:ascii="仿宋_GB2312" w:eastAsia="仿宋_GB2312"/>
          <w:sz w:val="32"/>
          <w:szCs w:val="32"/>
        </w:rPr>
        <w:t>8.农林水支出（类）农业农村（款）其他农业农村支出（项）:支出决算数为10.00万元，比上年决算减少349.49万元，下降97.22%，主要原因是：昌吉州巩固拓展</w:t>
      </w:r>
      <w:r>
        <w:rPr>
          <w:rFonts w:hint="eastAsia" w:ascii="仿宋_GB2312" w:eastAsia="仿宋_GB2312"/>
          <w:sz w:val="32"/>
          <w:szCs w:val="32"/>
          <w:lang w:eastAsia="zh-CN"/>
        </w:rPr>
        <w:t>脱贫攻坚成果同乡村振兴有效衔接</w:t>
      </w:r>
      <w:r>
        <w:rPr>
          <w:rFonts w:hint="eastAsia" w:ascii="仿宋_GB2312" w:eastAsia="仿宋_GB2312"/>
          <w:sz w:val="32"/>
          <w:szCs w:val="32"/>
        </w:rPr>
        <w:t>项目资金减少。</w:t>
      </w:r>
    </w:p>
    <w:p w14:paraId="03D537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5D11C1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pPr>
        <w:ind w:firstLine="640" w:firstLineChars="200"/>
        <w:jc w:val="left"/>
        <w:rPr>
          <w:rFonts w:ascii="仿宋_GB2312" w:eastAsia="仿宋_GB2312"/>
          <w:sz w:val="32"/>
          <w:szCs w:val="32"/>
        </w:rPr>
      </w:pPr>
      <w:r>
        <w:rPr>
          <w:rFonts w:hint="eastAsia" w:ascii="仿宋_GB2312" w:eastAsia="仿宋_GB2312"/>
          <w:sz w:val="32"/>
          <w:szCs w:val="32"/>
        </w:rPr>
        <w:t>公用经费8.59万元，包括：办公费、水费、电费、邮电费、取暖费、差旅费、维修（护）费、公务用车运行维护费。</w:t>
      </w:r>
    </w:p>
    <w:p w14:paraId="305FCD2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64DDB5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“三公”经费支出1.20万元，</w:t>
      </w:r>
      <w:r>
        <w:rPr>
          <w:rFonts w:hint="eastAsia" w:ascii="仿宋_GB2312" w:eastAsia="仿宋_GB2312"/>
          <w:sz w:val="32"/>
          <w:szCs w:val="32"/>
        </w:rPr>
        <w:t>比上年</w:t>
      </w:r>
      <w:r>
        <w:rPr>
          <w:rFonts w:hint="eastAsia" w:ascii="仿宋_GB2312" w:eastAsia="仿宋_GB2312"/>
          <w:sz w:val="32"/>
          <w:szCs w:val="32"/>
          <w:lang w:val="zh-CN"/>
        </w:rPr>
        <w:t>减少1.20万元，</w:t>
      </w:r>
      <w:r>
        <w:rPr>
          <w:rFonts w:hint="eastAsia" w:ascii="仿宋_GB2312" w:eastAsia="仿宋_GB2312"/>
          <w:sz w:val="32"/>
          <w:szCs w:val="32"/>
        </w:rPr>
        <w:t>下降50.00%,</w:t>
      </w:r>
      <w:r>
        <w:rPr>
          <w:rFonts w:hint="eastAsia" w:ascii="仿宋_GB2312" w:eastAsia="仿宋_GB2312"/>
          <w:sz w:val="32"/>
          <w:szCs w:val="32"/>
          <w:lang w:val="zh-CN"/>
        </w:rPr>
        <w:t>主要原因是：2023年车辆进行了报废处理，减少相应车辆燃油费；本年单位接待次数、人数减少，接待费用减少。其中：因公出国（境）费支出0.00万元，占0.00%，比上年增加0.00万元，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主要原因是：本年单位无此项经费；公务用车购置及运行维护费支出1.20万元，占100.00%，比上年减少0.80万元，</w:t>
      </w:r>
      <w:r>
        <w:rPr>
          <w:rFonts w:hint="eastAsia" w:ascii="仿宋_GB2312" w:eastAsia="仿宋_GB2312"/>
          <w:sz w:val="32"/>
          <w:szCs w:val="32"/>
        </w:rPr>
        <w:t>下降40.00%,</w:t>
      </w:r>
      <w:r>
        <w:rPr>
          <w:rFonts w:hint="eastAsia" w:ascii="仿宋_GB2312" w:eastAsia="仿宋_GB2312"/>
          <w:sz w:val="32"/>
          <w:szCs w:val="32"/>
          <w:lang w:val="zh-CN"/>
        </w:rPr>
        <w:t>主要原因是：2023年车辆进行了报废处理，减少相应车辆燃油费；公务接待费支出0.00万元，占0.00%，比上年减少0.40万元，</w:t>
      </w:r>
      <w:r>
        <w:rPr>
          <w:rFonts w:hint="eastAsia" w:ascii="仿宋_GB2312" w:eastAsia="仿宋_GB2312"/>
          <w:sz w:val="32"/>
          <w:szCs w:val="32"/>
        </w:rPr>
        <w:t>下降100.00%,</w:t>
      </w:r>
      <w:r>
        <w:rPr>
          <w:rFonts w:hint="eastAsia" w:ascii="仿宋_GB2312" w:eastAsia="仿宋_GB2312"/>
          <w:sz w:val="32"/>
          <w:szCs w:val="32"/>
          <w:lang w:val="zh-CN"/>
        </w:rPr>
        <w:t>主要原因是：本年单位接待次数、人数减少，接待费用减少。</w:t>
      </w:r>
    </w:p>
    <w:p w14:paraId="53E526D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91119A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因公出国（境）费支出0.00万元，开支内容包括我单位无此经费。单位全年安排的因公出国（境）团组0个，因公出国（境）0人次。</w:t>
      </w:r>
    </w:p>
    <w:p w14:paraId="40129B1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24D4F01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公务接待费0.00万元，开支内容包括我单位无此经费。单位全年安排的国内公务接待0批次，0人次。</w:t>
      </w:r>
    </w:p>
    <w:p w14:paraId="180B6C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0946F742">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67F5622">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政府性基金预算财政拨款收入支出与上年相比，增加44.99万元,增长100.00%,主要原因是：</w:t>
      </w:r>
      <w:r>
        <w:rPr>
          <w:rFonts w:hint="eastAsia" w:ascii="仿宋_GB2312" w:eastAsia="仿宋_GB2312"/>
          <w:sz w:val="32"/>
          <w:szCs w:val="32"/>
          <w:lang w:val="en-US" w:eastAsia="zh-CN"/>
        </w:rPr>
        <w:t>本年</w:t>
      </w:r>
      <w:r>
        <w:rPr>
          <w:rFonts w:hint="eastAsia" w:ascii="仿宋_GB2312" w:eastAsia="仿宋_GB2312"/>
          <w:sz w:val="32"/>
          <w:szCs w:val="32"/>
        </w:rPr>
        <w:t>昌吉州巩固拓展</w:t>
      </w:r>
      <w:r>
        <w:rPr>
          <w:rFonts w:hint="eastAsia" w:ascii="仿宋_GB2312" w:eastAsia="仿宋_GB2312"/>
          <w:sz w:val="32"/>
          <w:szCs w:val="32"/>
          <w:lang w:eastAsia="zh-CN"/>
        </w:rPr>
        <w:t>脱贫攻坚成果同乡村振兴有效衔接</w:t>
      </w:r>
      <w:r>
        <w:rPr>
          <w:rFonts w:hint="eastAsia" w:ascii="仿宋_GB2312" w:eastAsia="仿宋_GB2312"/>
          <w:sz w:val="32"/>
          <w:szCs w:val="32"/>
          <w:lang w:val="en-US" w:eastAsia="zh-CN"/>
        </w:rPr>
        <w:t>项目</w:t>
      </w:r>
      <w:r>
        <w:rPr>
          <w:rFonts w:hint="eastAsia" w:ascii="仿宋_GB2312" w:eastAsia="仿宋_GB2312"/>
          <w:sz w:val="32"/>
          <w:szCs w:val="32"/>
        </w:rPr>
        <w:t>资金增加。与年初预算相比,年初预算数0.00万元，决算数44.99万元，预决算差异率100.00%，主要原因是：年中追加昌吉州巩固拓展</w:t>
      </w:r>
      <w:r>
        <w:rPr>
          <w:rFonts w:hint="eastAsia" w:ascii="仿宋_GB2312" w:eastAsia="仿宋_GB2312"/>
          <w:sz w:val="32"/>
          <w:szCs w:val="32"/>
          <w:lang w:eastAsia="zh-CN"/>
        </w:rPr>
        <w:t>脱贫攻坚成果同乡村振兴有效衔接</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0EAA943F">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政府性基金预算财政拨款支出44.99万元。</w:t>
      </w:r>
    </w:p>
    <w:p w14:paraId="4105F0FB">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1.城乡社区支出（类）国有土地使用权出让收入安排的支出（款）农业农村生态环境支出（项）:支出决算数为44.99万元，比上年决算增加44.99万元，增长100%，主要原因是：增加昌吉州巩固拓展</w:t>
      </w:r>
      <w:r>
        <w:rPr>
          <w:rFonts w:hint="eastAsia" w:ascii="仿宋_GB2312" w:eastAsia="仿宋_GB2312"/>
          <w:sz w:val="32"/>
          <w:szCs w:val="32"/>
          <w:lang w:eastAsia="zh-CN"/>
        </w:rPr>
        <w:t>脱贫攻坚成果同乡村振兴有效衔接</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7809385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3052D23">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181CA18">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B32BA7C">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428F0A1">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2023年度木垒哈萨克自治县乡村振兴综合保障中心（事业单位）公用经费支出8.59万元，比上年减少14.92万元，下降63.46%，主要原因是：单位本年办公费、邮电费、取暖费、公务用车运行维护费减少。</w:t>
      </w:r>
    </w:p>
    <w:p w14:paraId="21A4123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E5B13D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77149C0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6CB2CDF3">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293C49C">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33.54万元，房屋0.00方米，价值0.00万元。车辆1辆，价值29.36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9EA6CB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1596C5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686.02</w:t>
      </w:r>
      <w:r>
        <w:rPr>
          <w:rFonts w:hint="eastAsia" w:ascii="仿宋_GB2312" w:eastAsia="仿宋_GB2312"/>
          <w:sz w:val="32"/>
          <w:szCs w:val="32"/>
        </w:rPr>
        <w:t>万元，实际执行总额</w:t>
      </w:r>
      <w:r>
        <w:rPr>
          <w:rFonts w:ascii="仿宋_GB2312" w:eastAsia="仿宋_GB2312"/>
          <w:sz w:val="32"/>
          <w:szCs w:val="32"/>
        </w:rPr>
        <w:t>686.02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276.23</w:t>
      </w:r>
      <w:r>
        <w:rPr>
          <w:rFonts w:hint="eastAsia" w:ascii="仿宋_GB2312" w:eastAsia="仿宋_GB2312"/>
          <w:sz w:val="32"/>
          <w:szCs w:val="32"/>
        </w:rPr>
        <w:t>万元，全年执行数</w:t>
      </w:r>
      <w:r>
        <w:rPr>
          <w:rFonts w:ascii="仿宋_GB2312" w:eastAsia="仿宋_GB2312"/>
          <w:sz w:val="32"/>
          <w:szCs w:val="32"/>
        </w:rPr>
        <w:t>276.23</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197"/>
        <w:gridCol w:w="1187"/>
        <w:gridCol w:w="1069"/>
        <w:gridCol w:w="1195"/>
        <w:gridCol w:w="585"/>
        <w:gridCol w:w="866"/>
        <w:gridCol w:w="607"/>
      </w:tblGrid>
      <w:tr w14:paraId="6242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0" w:type="pct"/>
            <w:gridSpan w:val="8"/>
            <w:shd w:val="clear" w:color="auto" w:fill="auto"/>
            <w:noWrap/>
            <w:vAlign w:val="center"/>
          </w:tcPr>
          <w:p w14:paraId="0AD681E6">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278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00" w:type="pct"/>
            <w:gridSpan w:val="8"/>
            <w:shd w:val="clear" w:color="auto" w:fill="auto"/>
            <w:noWrap/>
            <w:vAlign w:val="center"/>
          </w:tcPr>
          <w:p w14:paraId="19497772">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E45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65" w:type="pct"/>
            <w:shd w:val="clear" w:color="auto" w:fill="auto"/>
            <w:noWrap/>
            <w:vAlign w:val="center"/>
          </w:tcPr>
          <w:p w14:paraId="414B52B9">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3934" w:type="pct"/>
            <w:gridSpan w:val="7"/>
            <w:shd w:val="clear" w:color="auto" w:fill="auto"/>
            <w:noWrap/>
            <w:vAlign w:val="center"/>
          </w:tcPr>
          <w:p w14:paraId="01B16A3D">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乡村振兴综合保障中心</w:t>
            </w:r>
          </w:p>
        </w:tc>
      </w:tr>
      <w:tr w14:paraId="3999F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pct"/>
            <w:vMerge w:val="restart"/>
            <w:shd w:val="clear" w:color="auto" w:fill="auto"/>
            <w:vAlign w:val="center"/>
          </w:tcPr>
          <w:p w14:paraId="1425440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03" w:type="pct"/>
            <w:shd w:val="clear" w:color="auto" w:fill="auto"/>
            <w:vAlign w:val="center"/>
          </w:tcPr>
          <w:p w14:paraId="74B0A786">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697" w:type="pct"/>
            <w:shd w:val="clear" w:color="auto" w:fill="auto"/>
            <w:vAlign w:val="center"/>
          </w:tcPr>
          <w:p w14:paraId="3817A2BC">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626" w:type="pct"/>
            <w:shd w:val="clear" w:color="auto" w:fill="auto"/>
            <w:vAlign w:val="center"/>
          </w:tcPr>
          <w:p w14:paraId="7DCAE53A">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01" w:type="pct"/>
            <w:shd w:val="clear" w:color="auto" w:fill="auto"/>
            <w:vAlign w:val="center"/>
          </w:tcPr>
          <w:p w14:paraId="6BC8E797">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343" w:type="pct"/>
            <w:shd w:val="clear" w:color="auto" w:fill="auto"/>
            <w:vAlign w:val="center"/>
          </w:tcPr>
          <w:p w14:paraId="15698012">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08" w:type="pct"/>
            <w:shd w:val="clear" w:color="auto" w:fill="auto"/>
            <w:vAlign w:val="center"/>
          </w:tcPr>
          <w:p w14:paraId="0B6301E4">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354" w:type="pct"/>
            <w:shd w:val="clear" w:color="auto" w:fill="auto"/>
            <w:vAlign w:val="center"/>
          </w:tcPr>
          <w:p w14:paraId="704C4903">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6FA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62FF652E">
            <w:pPr>
              <w:widowControl/>
              <w:jc w:val="left"/>
              <w:rPr>
                <w:rFonts w:hint="eastAsia" w:ascii="宋体" w:hAnsi="宋体" w:cs="宋体"/>
                <w:kern w:val="0"/>
                <w:sz w:val="20"/>
                <w:szCs w:val="20"/>
              </w:rPr>
            </w:pPr>
          </w:p>
        </w:tc>
        <w:tc>
          <w:tcPr>
            <w:tcW w:w="703" w:type="pct"/>
            <w:shd w:val="clear" w:color="auto" w:fill="auto"/>
            <w:noWrap/>
            <w:vAlign w:val="center"/>
          </w:tcPr>
          <w:p w14:paraId="7AD98919">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697" w:type="pct"/>
            <w:shd w:val="clear" w:color="auto" w:fill="auto"/>
            <w:vAlign w:val="center"/>
          </w:tcPr>
          <w:p w14:paraId="066D79C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14.00</w:t>
            </w:r>
          </w:p>
        </w:tc>
        <w:tc>
          <w:tcPr>
            <w:tcW w:w="626" w:type="pct"/>
            <w:shd w:val="clear" w:color="auto" w:fill="auto"/>
            <w:vAlign w:val="center"/>
          </w:tcPr>
          <w:p w14:paraId="30E6486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14.00</w:t>
            </w:r>
          </w:p>
        </w:tc>
        <w:tc>
          <w:tcPr>
            <w:tcW w:w="701" w:type="pct"/>
            <w:shd w:val="clear" w:color="auto" w:fill="auto"/>
            <w:vAlign w:val="center"/>
          </w:tcPr>
          <w:p w14:paraId="0D73465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14.00</w:t>
            </w:r>
          </w:p>
        </w:tc>
        <w:tc>
          <w:tcPr>
            <w:tcW w:w="343" w:type="pct"/>
            <w:shd w:val="clear" w:color="auto" w:fill="auto"/>
            <w:vAlign w:val="center"/>
          </w:tcPr>
          <w:p w14:paraId="1A5F668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08" w:type="pct"/>
            <w:shd w:val="clear" w:color="auto" w:fill="auto"/>
            <w:vAlign w:val="center"/>
          </w:tcPr>
          <w:p w14:paraId="58ED35D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54" w:type="pct"/>
            <w:shd w:val="clear" w:color="auto" w:fill="auto"/>
            <w:vAlign w:val="center"/>
          </w:tcPr>
          <w:p w14:paraId="1F37490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287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70C0BD50">
            <w:pPr>
              <w:widowControl/>
              <w:jc w:val="left"/>
              <w:rPr>
                <w:rFonts w:hint="eastAsia" w:ascii="宋体" w:hAnsi="宋体" w:cs="宋体"/>
                <w:kern w:val="0"/>
                <w:sz w:val="20"/>
                <w:szCs w:val="20"/>
              </w:rPr>
            </w:pPr>
          </w:p>
        </w:tc>
        <w:tc>
          <w:tcPr>
            <w:tcW w:w="703" w:type="pct"/>
            <w:shd w:val="clear" w:color="auto" w:fill="auto"/>
            <w:vAlign w:val="center"/>
          </w:tcPr>
          <w:p w14:paraId="2D2B8F90">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697" w:type="pct"/>
            <w:shd w:val="clear" w:color="auto" w:fill="auto"/>
            <w:vAlign w:val="center"/>
          </w:tcPr>
          <w:p w14:paraId="7B2F578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26" w:type="pct"/>
            <w:shd w:val="clear" w:color="auto" w:fill="auto"/>
            <w:vAlign w:val="center"/>
          </w:tcPr>
          <w:p w14:paraId="623EF76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16.00</w:t>
            </w:r>
          </w:p>
        </w:tc>
        <w:tc>
          <w:tcPr>
            <w:tcW w:w="701" w:type="pct"/>
            <w:shd w:val="clear" w:color="auto" w:fill="auto"/>
            <w:vAlign w:val="center"/>
          </w:tcPr>
          <w:p w14:paraId="24A5ADA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16.00</w:t>
            </w:r>
          </w:p>
        </w:tc>
        <w:tc>
          <w:tcPr>
            <w:tcW w:w="343" w:type="pct"/>
            <w:shd w:val="clear" w:color="auto" w:fill="auto"/>
            <w:vAlign w:val="center"/>
          </w:tcPr>
          <w:p w14:paraId="03033F2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8" w:type="pct"/>
            <w:shd w:val="clear" w:color="auto" w:fill="auto"/>
            <w:vAlign w:val="center"/>
          </w:tcPr>
          <w:p w14:paraId="2E9A751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54" w:type="pct"/>
            <w:shd w:val="clear" w:color="auto" w:fill="auto"/>
            <w:vAlign w:val="center"/>
          </w:tcPr>
          <w:p w14:paraId="768AB67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507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72B6B6B4">
            <w:pPr>
              <w:widowControl/>
              <w:jc w:val="left"/>
              <w:rPr>
                <w:rFonts w:hint="eastAsia" w:ascii="宋体" w:hAnsi="宋体" w:cs="宋体"/>
                <w:kern w:val="0"/>
                <w:sz w:val="20"/>
                <w:szCs w:val="20"/>
              </w:rPr>
            </w:pPr>
          </w:p>
        </w:tc>
        <w:tc>
          <w:tcPr>
            <w:tcW w:w="703" w:type="pct"/>
            <w:shd w:val="clear" w:color="auto" w:fill="auto"/>
            <w:vAlign w:val="center"/>
          </w:tcPr>
          <w:p w14:paraId="668C1C5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697" w:type="pct"/>
            <w:shd w:val="clear" w:color="auto" w:fill="auto"/>
            <w:vAlign w:val="center"/>
          </w:tcPr>
          <w:p w14:paraId="28270BE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26" w:type="pct"/>
            <w:shd w:val="clear" w:color="auto" w:fill="auto"/>
            <w:vAlign w:val="center"/>
          </w:tcPr>
          <w:p w14:paraId="7D001A1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1" w:type="pct"/>
            <w:shd w:val="clear" w:color="auto" w:fill="auto"/>
            <w:vAlign w:val="center"/>
          </w:tcPr>
          <w:p w14:paraId="07F5022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343" w:type="pct"/>
            <w:shd w:val="clear" w:color="auto" w:fill="auto"/>
            <w:vAlign w:val="center"/>
          </w:tcPr>
          <w:p w14:paraId="5D5F5A8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8" w:type="pct"/>
            <w:shd w:val="clear" w:color="auto" w:fill="auto"/>
            <w:vAlign w:val="center"/>
          </w:tcPr>
          <w:p w14:paraId="2E20727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54" w:type="pct"/>
            <w:shd w:val="clear" w:color="auto" w:fill="auto"/>
            <w:vAlign w:val="center"/>
          </w:tcPr>
          <w:p w14:paraId="2DD30F8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813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5782997F">
            <w:pPr>
              <w:widowControl/>
              <w:jc w:val="left"/>
              <w:rPr>
                <w:rFonts w:hint="eastAsia" w:ascii="宋体" w:hAnsi="宋体" w:cs="宋体"/>
                <w:kern w:val="0"/>
                <w:sz w:val="20"/>
                <w:szCs w:val="20"/>
              </w:rPr>
            </w:pPr>
          </w:p>
        </w:tc>
        <w:tc>
          <w:tcPr>
            <w:tcW w:w="703" w:type="pct"/>
            <w:shd w:val="clear" w:color="auto" w:fill="auto"/>
            <w:vAlign w:val="center"/>
          </w:tcPr>
          <w:p w14:paraId="48477A5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697" w:type="pct"/>
            <w:shd w:val="clear" w:color="auto" w:fill="auto"/>
            <w:vAlign w:val="center"/>
          </w:tcPr>
          <w:p w14:paraId="792D80A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162.76</w:t>
            </w:r>
          </w:p>
        </w:tc>
        <w:tc>
          <w:tcPr>
            <w:tcW w:w="626" w:type="pct"/>
            <w:shd w:val="clear" w:color="auto" w:fill="auto"/>
            <w:vAlign w:val="center"/>
          </w:tcPr>
          <w:p w14:paraId="61AE263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656.02</w:t>
            </w:r>
          </w:p>
        </w:tc>
        <w:tc>
          <w:tcPr>
            <w:tcW w:w="701" w:type="pct"/>
            <w:shd w:val="clear" w:color="auto" w:fill="auto"/>
            <w:vAlign w:val="center"/>
          </w:tcPr>
          <w:p w14:paraId="70FDF7C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656.02</w:t>
            </w:r>
          </w:p>
        </w:tc>
        <w:tc>
          <w:tcPr>
            <w:tcW w:w="343" w:type="pct"/>
            <w:shd w:val="clear" w:color="auto" w:fill="auto"/>
            <w:vAlign w:val="center"/>
          </w:tcPr>
          <w:p w14:paraId="5A16A22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8" w:type="pct"/>
            <w:shd w:val="clear" w:color="auto" w:fill="auto"/>
            <w:vAlign w:val="center"/>
          </w:tcPr>
          <w:p w14:paraId="3157492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54" w:type="pct"/>
            <w:shd w:val="clear" w:color="auto" w:fill="auto"/>
            <w:vAlign w:val="center"/>
          </w:tcPr>
          <w:p w14:paraId="7C9EEDC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C90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320312D9">
            <w:pPr>
              <w:widowControl/>
              <w:jc w:val="left"/>
              <w:rPr>
                <w:rFonts w:hint="eastAsia" w:ascii="宋体" w:hAnsi="宋体" w:cs="宋体"/>
                <w:kern w:val="0"/>
                <w:sz w:val="20"/>
                <w:szCs w:val="20"/>
              </w:rPr>
            </w:pPr>
          </w:p>
        </w:tc>
        <w:tc>
          <w:tcPr>
            <w:tcW w:w="703" w:type="pct"/>
            <w:shd w:val="clear" w:color="auto" w:fill="auto"/>
            <w:vAlign w:val="center"/>
          </w:tcPr>
          <w:p w14:paraId="3AF6DD22">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697" w:type="pct"/>
            <w:shd w:val="clear" w:color="auto" w:fill="auto"/>
            <w:vAlign w:val="center"/>
          </w:tcPr>
          <w:p w14:paraId="2B8E341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26" w:type="pct"/>
            <w:shd w:val="clear" w:color="auto" w:fill="auto"/>
            <w:vAlign w:val="center"/>
          </w:tcPr>
          <w:p w14:paraId="097084C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01" w:type="pct"/>
            <w:shd w:val="clear" w:color="auto" w:fill="auto"/>
            <w:vAlign w:val="center"/>
          </w:tcPr>
          <w:p w14:paraId="3CA1E7B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343" w:type="pct"/>
            <w:shd w:val="clear" w:color="auto" w:fill="auto"/>
            <w:vAlign w:val="center"/>
          </w:tcPr>
          <w:p w14:paraId="2A43E84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8" w:type="pct"/>
            <w:shd w:val="clear" w:color="auto" w:fill="auto"/>
            <w:vAlign w:val="center"/>
          </w:tcPr>
          <w:p w14:paraId="0A336CA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54" w:type="pct"/>
            <w:shd w:val="clear" w:color="auto" w:fill="auto"/>
            <w:vAlign w:val="center"/>
          </w:tcPr>
          <w:p w14:paraId="71DBE94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DB2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65" w:type="pct"/>
            <w:vMerge w:val="continue"/>
            <w:vAlign w:val="center"/>
          </w:tcPr>
          <w:p w14:paraId="678DFBE1">
            <w:pPr>
              <w:widowControl/>
              <w:jc w:val="left"/>
              <w:rPr>
                <w:rFonts w:hint="eastAsia" w:ascii="宋体" w:hAnsi="宋体" w:cs="宋体"/>
                <w:kern w:val="0"/>
                <w:sz w:val="20"/>
                <w:szCs w:val="20"/>
              </w:rPr>
            </w:pPr>
          </w:p>
        </w:tc>
        <w:tc>
          <w:tcPr>
            <w:tcW w:w="703" w:type="pct"/>
            <w:shd w:val="clear" w:color="auto" w:fill="auto"/>
            <w:vAlign w:val="center"/>
          </w:tcPr>
          <w:p w14:paraId="4D04CF30">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697" w:type="pct"/>
            <w:shd w:val="clear" w:color="auto" w:fill="auto"/>
            <w:vAlign w:val="center"/>
          </w:tcPr>
          <w:p w14:paraId="4C8D463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176.76</w:t>
            </w:r>
          </w:p>
        </w:tc>
        <w:tc>
          <w:tcPr>
            <w:tcW w:w="626" w:type="pct"/>
            <w:shd w:val="clear" w:color="auto" w:fill="auto"/>
            <w:vAlign w:val="center"/>
          </w:tcPr>
          <w:p w14:paraId="62CBADC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686.02</w:t>
            </w:r>
          </w:p>
        </w:tc>
        <w:tc>
          <w:tcPr>
            <w:tcW w:w="701" w:type="pct"/>
            <w:shd w:val="clear" w:color="auto" w:fill="auto"/>
            <w:vAlign w:val="center"/>
          </w:tcPr>
          <w:p w14:paraId="3AD5B60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686.02</w:t>
            </w:r>
          </w:p>
        </w:tc>
        <w:tc>
          <w:tcPr>
            <w:tcW w:w="343" w:type="pct"/>
            <w:shd w:val="clear" w:color="auto" w:fill="auto"/>
            <w:vAlign w:val="center"/>
          </w:tcPr>
          <w:p w14:paraId="33B5207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08" w:type="pct"/>
            <w:shd w:val="clear" w:color="auto" w:fill="auto"/>
            <w:vAlign w:val="center"/>
          </w:tcPr>
          <w:p w14:paraId="46ABE4C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54" w:type="pct"/>
            <w:shd w:val="clear" w:color="auto" w:fill="auto"/>
            <w:vAlign w:val="center"/>
          </w:tcPr>
          <w:p w14:paraId="4B7474D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B1A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065" w:type="pct"/>
            <w:vMerge w:val="restart"/>
            <w:shd w:val="clear" w:color="auto" w:fill="auto"/>
            <w:vAlign w:val="center"/>
          </w:tcPr>
          <w:p w14:paraId="4EBBCC1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027" w:type="pct"/>
            <w:gridSpan w:val="3"/>
            <w:shd w:val="clear" w:color="auto" w:fill="auto"/>
            <w:noWrap/>
            <w:vAlign w:val="center"/>
          </w:tcPr>
          <w:p w14:paraId="1590FDA6">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07" w:type="pct"/>
            <w:gridSpan w:val="4"/>
            <w:shd w:val="clear" w:color="auto" w:fill="auto"/>
            <w:noWrap/>
            <w:vAlign w:val="center"/>
          </w:tcPr>
          <w:p w14:paraId="765F8FB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BB1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3" w:hRule="atLeast"/>
        </w:trPr>
        <w:tc>
          <w:tcPr>
            <w:tcW w:w="1065" w:type="pct"/>
            <w:vMerge w:val="continue"/>
            <w:vAlign w:val="center"/>
          </w:tcPr>
          <w:p w14:paraId="42BBD451">
            <w:pPr>
              <w:widowControl/>
              <w:jc w:val="left"/>
              <w:rPr>
                <w:rFonts w:hint="eastAsia" w:ascii="宋体" w:hAnsi="宋体" w:cs="宋体"/>
                <w:kern w:val="0"/>
                <w:sz w:val="20"/>
                <w:szCs w:val="20"/>
              </w:rPr>
            </w:pPr>
          </w:p>
        </w:tc>
        <w:tc>
          <w:tcPr>
            <w:tcW w:w="2027" w:type="pct"/>
            <w:gridSpan w:val="3"/>
            <w:shd w:val="clear" w:color="auto" w:fill="auto"/>
            <w:vAlign w:val="center"/>
          </w:tcPr>
          <w:p w14:paraId="3ACD0EAD">
            <w:pPr>
              <w:widowControl/>
              <w:jc w:val="center"/>
              <w:rPr>
                <w:rFonts w:hint="eastAsia" w:ascii="宋体" w:hAnsi="宋体" w:cs="宋体"/>
                <w:kern w:val="0"/>
                <w:sz w:val="20"/>
                <w:szCs w:val="20"/>
              </w:rPr>
            </w:pPr>
            <w:r>
              <w:rPr>
                <w:rFonts w:hint="eastAsia" w:ascii="宋体" w:hAnsi="宋体" w:cs="宋体"/>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w:t>
            </w:r>
            <w:r>
              <w:rPr>
                <w:rFonts w:hint="eastAsia" w:ascii="宋体" w:hAnsi="宋体" w:cs="宋体"/>
                <w:kern w:val="0"/>
                <w:sz w:val="20"/>
                <w:szCs w:val="20"/>
                <w:lang w:eastAsia="zh-CN"/>
              </w:rPr>
              <w:t>巩固拓展脱贫攻坚成果</w:t>
            </w:r>
            <w:r>
              <w:rPr>
                <w:rFonts w:hint="eastAsia" w:ascii="宋体" w:hAnsi="宋体" w:cs="宋体"/>
                <w:kern w:val="0"/>
                <w:sz w:val="20"/>
                <w:szCs w:val="20"/>
              </w:rPr>
              <w:t>信息采集工作形成报告 、完成中央和自治区第一批乡村振兴衔接资金14个项目建设工作和10个乡村治理积分制、清单制推广运用示范村创建完成新建户厕225座、整改户厕110座完成10个村“一乡一村”建设任务 。</w:t>
            </w:r>
          </w:p>
        </w:tc>
        <w:tc>
          <w:tcPr>
            <w:tcW w:w="1907" w:type="pct"/>
            <w:gridSpan w:val="4"/>
            <w:shd w:val="clear" w:color="auto" w:fill="auto"/>
            <w:vAlign w:val="center"/>
          </w:tcPr>
          <w:p w14:paraId="67B8E839">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截至2023年</w:t>
            </w:r>
            <w:r>
              <w:rPr>
                <w:rFonts w:hint="eastAsia" w:ascii="宋体" w:hAnsi="宋体" w:cs="宋体"/>
                <w:kern w:val="0"/>
                <w:sz w:val="20"/>
                <w:szCs w:val="20"/>
              </w:rPr>
              <w:t>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w:t>
            </w:r>
            <w:r>
              <w:rPr>
                <w:rFonts w:hint="eastAsia" w:ascii="宋体" w:hAnsi="宋体" w:cs="宋体"/>
                <w:kern w:val="0"/>
                <w:sz w:val="20"/>
                <w:szCs w:val="20"/>
                <w:lang w:eastAsia="zh-CN"/>
              </w:rPr>
              <w:t>巩固拓展脱贫攻坚成果</w:t>
            </w:r>
            <w:r>
              <w:rPr>
                <w:rFonts w:hint="eastAsia" w:ascii="宋体" w:hAnsi="宋体" w:cs="宋体"/>
                <w:kern w:val="0"/>
                <w:sz w:val="20"/>
                <w:szCs w:val="20"/>
              </w:rPr>
              <w:t>信息采集工作形成报告 、完成中央和自治区第一批乡村振兴衔接资金14个项目建设工作和10个乡村治理积分制、清单制推广运用示范村创建完成新建户厕225座、整改户厕110座完成10个村“一乡一村”建设任务 。</w:t>
            </w:r>
          </w:p>
        </w:tc>
      </w:tr>
      <w:tr w14:paraId="2AE1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065" w:type="pct"/>
            <w:shd w:val="clear" w:color="auto" w:fill="auto"/>
            <w:vAlign w:val="center"/>
          </w:tcPr>
          <w:p w14:paraId="2E93763A">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03" w:type="pct"/>
            <w:shd w:val="clear" w:color="auto" w:fill="auto"/>
            <w:vAlign w:val="center"/>
          </w:tcPr>
          <w:p w14:paraId="6A2B4A43">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697" w:type="pct"/>
            <w:shd w:val="clear" w:color="auto" w:fill="auto"/>
            <w:vAlign w:val="center"/>
          </w:tcPr>
          <w:p w14:paraId="19CCD937">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626" w:type="pct"/>
            <w:shd w:val="clear" w:color="auto" w:fill="auto"/>
            <w:vAlign w:val="center"/>
          </w:tcPr>
          <w:p w14:paraId="62B5C388">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701" w:type="pct"/>
            <w:shd w:val="clear" w:color="auto" w:fill="auto"/>
            <w:vAlign w:val="center"/>
          </w:tcPr>
          <w:p w14:paraId="721B2D37">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343" w:type="pct"/>
            <w:shd w:val="clear" w:color="auto" w:fill="auto"/>
            <w:vAlign w:val="center"/>
          </w:tcPr>
          <w:p w14:paraId="17A29E0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08" w:type="pct"/>
            <w:shd w:val="clear" w:color="auto" w:fill="auto"/>
            <w:vAlign w:val="center"/>
          </w:tcPr>
          <w:p w14:paraId="54944C20">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354" w:type="pct"/>
            <w:shd w:val="clear" w:color="auto" w:fill="auto"/>
            <w:vAlign w:val="center"/>
          </w:tcPr>
          <w:p w14:paraId="58395791">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D11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restart"/>
            <w:shd w:val="clear" w:color="auto" w:fill="auto"/>
            <w:vAlign w:val="center"/>
          </w:tcPr>
          <w:p w14:paraId="5CBCC93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03" w:type="pct"/>
            <w:vMerge w:val="restart"/>
            <w:shd w:val="clear" w:color="auto" w:fill="auto"/>
            <w:vAlign w:val="center"/>
          </w:tcPr>
          <w:p w14:paraId="518029E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697" w:type="pct"/>
            <w:shd w:val="clear" w:color="auto" w:fill="auto"/>
            <w:vAlign w:val="center"/>
          </w:tcPr>
          <w:p w14:paraId="3CD57F54">
            <w:pPr>
              <w:widowControl/>
              <w:jc w:val="center"/>
              <w:rPr>
                <w:rFonts w:hint="eastAsia" w:ascii="宋体" w:hAnsi="宋体" w:cs="宋体"/>
                <w:kern w:val="0"/>
                <w:sz w:val="20"/>
                <w:szCs w:val="20"/>
              </w:rPr>
            </w:pPr>
            <w:r>
              <w:rPr>
                <w:rFonts w:hint="eastAsia" w:ascii="宋体" w:hAnsi="宋体" w:cs="宋体"/>
                <w:kern w:val="0"/>
                <w:sz w:val="20"/>
                <w:szCs w:val="20"/>
              </w:rPr>
              <w:t>开展返贫致贫摸排</w:t>
            </w:r>
          </w:p>
        </w:tc>
        <w:tc>
          <w:tcPr>
            <w:tcW w:w="626" w:type="pct"/>
            <w:shd w:val="clear" w:color="auto" w:fill="auto"/>
            <w:vAlign w:val="center"/>
          </w:tcPr>
          <w:p w14:paraId="65829A9F">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701" w:type="pct"/>
            <w:shd w:val="clear" w:color="auto" w:fill="auto"/>
            <w:vAlign w:val="center"/>
          </w:tcPr>
          <w:p w14:paraId="5E72AF2F">
            <w:pPr>
              <w:widowControl/>
              <w:jc w:val="center"/>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vAlign w:val="center"/>
          </w:tcPr>
          <w:p w14:paraId="70B78DB7">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508" w:type="pct"/>
            <w:shd w:val="clear" w:color="auto" w:fill="auto"/>
            <w:vAlign w:val="center"/>
          </w:tcPr>
          <w:p w14:paraId="4CC4980C">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354" w:type="pct"/>
            <w:shd w:val="clear" w:color="auto" w:fill="auto"/>
            <w:vAlign w:val="center"/>
          </w:tcPr>
          <w:p w14:paraId="2D09D3DC">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46E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50B79501">
            <w:pPr>
              <w:widowControl/>
              <w:jc w:val="left"/>
              <w:rPr>
                <w:rFonts w:hint="eastAsia" w:ascii="宋体" w:hAnsi="宋体" w:cs="宋体"/>
                <w:kern w:val="0"/>
                <w:sz w:val="20"/>
                <w:szCs w:val="20"/>
              </w:rPr>
            </w:pPr>
          </w:p>
        </w:tc>
        <w:tc>
          <w:tcPr>
            <w:tcW w:w="703" w:type="pct"/>
            <w:vMerge w:val="continue"/>
            <w:vAlign w:val="center"/>
          </w:tcPr>
          <w:p w14:paraId="2DDC2EB1">
            <w:pPr>
              <w:widowControl/>
              <w:jc w:val="left"/>
              <w:rPr>
                <w:rFonts w:hint="eastAsia" w:ascii="宋体" w:hAnsi="宋体" w:cs="宋体"/>
                <w:kern w:val="0"/>
                <w:sz w:val="20"/>
                <w:szCs w:val="20"/>
              </w:rPr>
            </w:pPr>
          </w:p>
        </w:tc>
        <w:tc>
          <w:tcPr>
            <w:tcW w:w="697" w:type="pct"/>
            <w:shd w:val="clear" w:color="auto" w:fill="auto"/>
            <w:vAlign w:val="center"/>
          </w:tcPr>
          <w:p w14:paraId="72F80248">
            <w:pPr>
              <w:widowControl/>
              <w:jc w:val="center"/>
              <w:rPr>
                <w:rFonts w:hint="eastAsia" w:ascii="宋体" w:hAnsi="宋体" w:cs="宋体"/>
                <w:kern w:val="0"/>
                <w:sz w:val="20"/>
                <w:szCs w:val="20"/>
              </w:rPr>
            </w:pPr>
            <w:r>
              <w:rPr>
                <w:rFonts w:hint="eastAsia" w:ascii="宋体" w:hAnsi="宋体" w:cs="宋体"/>
                <w:kern w:val="0"/>
                <w:sz w:val="20"/>
                <w:szCs w:val="20"/>
              </w:rPr>
              <w:t>设立就业帮扶车间</w:t>
            </w:r>
          </w:p>
        </w:tc>
        <w:tc>
          <w:tcPr>
            <w:tcW w:w="626" w:type="pct"/>
            <w:shd w:val="clear" w:color="auto" w:fill="auto"/>
            <w:vAlign w:val="center"/>
          </w:tcPr>
          <w:p w14:paraId="2F7C7706">
            <w:pPr>
              <w:widowControl/>
              <w:jc w:val="center"/>
              <w:rPr>
                <w:rFonts w:hint="eastAsia" w:ascii="宋体" w:hAnsi="宋体" w:cs="宋体"/>
                <w:kern w:val="0"/>
                <w:sz w:val="20"/>
                <w:szCs w:val="20"/>
              </w:rPr>
            </w:pPr>
            <w:r>
              <w:rPr>
                <w:rFonts w:hint="eastAsia" w:ascii="宋体" w:hAnsi="宋体" w:cs="宋体"/>
                <w:kern w:val="0"/>
                <w:sz w:val="20"/>
                <w:szCs w:val="20"/>
              </w:rPr>
              <w:t>&gt;=23个</w:t>
            </w:r>
          </w:p>
        </w:tc>
        <w:tc>
          <w:tcPr>
            <w:tcW w:w="701" w:type="pct"/>
            <w:shd w:val="clear" w:color="auto" w:fill="auto"/>
            <w:vAlign w:val="center"/>
          </w:tcPr>
          <w:p w14:paraId="54EEE630">
            <w:pPr>
              <w:widowControl/>
              <w:jc w:val="center"/>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vAlign w:val="center"/>
          </w:tcPr>
          <w:p w14:paraId="6C01A470">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08" w:type="pct"/>
            <w:shd w:val="clear" w:color="auto" w:fill="auto"/>
            <w:vAlign w:val="center"/>
          </w:tcPr>
          <w:p w14:paraId="160E5733">
            <w:pPr>
              <w:widowControl/>
              <w:jc w:val="center"/>
              <w:rPr>
                <w:rFonts w:hint="eastAsia" w:ascii="宋体" w:hAnsi="宋体" w:cs="宋体"/>
                <w:kern w:val="0"/>
                <w:sz w:val="20"/>
                <w:szCs w:val="20"/>
              </w:rPr>
            </w:pPr>
            <w:r>
              <w:rPr>
                <w:rFonts w:hint="eastAsia" w:ascii="宋体" w:hAnsi="宋体" w:cs="宋体"/>
                <w:kern w:val="0"/>
                <w:sz w:val="20"/>
                <w:szCs w:val="20"/>
              </w:rPr>
              <w:t>23个</w:t>
            </w:r>
          </w:p>
        </w:tc>
        <w:tc>
          <w:tcPr>
            <w:tcW w:w="354" w:type="pct"/>
            <w:shd w:val="clear" w:color="auto" w:fill="auto"/>
            <w:vAlign w:val="center"/>
          </w:tcPr>
          <w:p w14:paraId="3F33F267">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5E99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3091C689">
            <w:pPr>
              <w:widowControl/>
              <w:jc w:val="left"/>
              <w:rPr>
                <w:rFonts w:hint="eastAsia" w:ascii="宋体" w:hAnsi="宋体" w:cs="宋体"/>
                <w:kern w:val="0"/>
                <w:sz w:val="20"/>
                <w:szCs w:val="20"/>
              </w:rPr>
            </w:pPr>
          </w:p>
        </w:tc>
        <w:tc>
          <w:tcPr>
            <w:tcW w:w="703" w:type="pct"/>
            <w:vMerge w:val="continue"/>
            <w:vAlign w:val="center"/>
          </w:tcPr>
          <w:p w14:paraId="637A40FF">
            <w:pPr>
              <w:widowControl/>
              <w:jc w:val="left"/>
              <w:rPr>
                <w:rFonts w:hint="eastAsia" w:ascii="宋体" w:hAnsi="宋体" w:cs="宋体"/>
                <w:kern w:val="0"/>
                <w:sz w:val="20"/>
                <w:szCs w:val="20"/>
              </w:rPr>
            </w:pPr>
          </w:p>
        </w:tc>
        <w:tc>
          <w:tcPr>
            <w:tcW w:w="697" w:type="pct"/>
            <w:shd w:val="clear" w:color="auto" w:fill="auto"/>
            <w:vAlign w:val="center"/>
          </w:tcPr>
          <w:p w14:paraId="641C5E8F">
            <w:pPr>
              <w:widowControl/>
              <w:jc w:val="center"/>
              <w:rPr>
                <w:rFonts w:hint="eastAsia" w:ascii="宋体" w:hAnsi="宋体" w:cs="宋体"/>
                <w:kern w:val="0"/>
                <w:sz w:val="20"/>
                <w:szCs w:val="20"/>
              </w:rPr>
            </w:pPr>
            <w:r>
              <w:rPr>
                <w:rFonts w:hint="eastAsia" w:ascii="宋体" w:hAnsi="宋体" w:cs="宋体"/>
                <w:kern w:val="0"/>
                <w:sz w:val="20"/>
                <w:szCs w:val="20"/>
              </w:rPr>
              <w:t>乡村公益性岗位吸纳脱贫人口数</w:t>
            </w:r>
          </w:p>
        </w:tc>
        <w:tc>
          <w:tcPr>
            <w:tcW w:w="626" w:type="pct"/>
            <w:shd w:val="clear" w:color="auto" w:fill="auto"/>
            <w:vAlign w:val="center"/>
          </w:tcPr>
          <w:p w14:paraId="2F6491AE">
            <w:pPr>
              <w:widowControl/>
              <w:jc w:val="center"/>
              <w:rPr>
                <w:rFonts w:hint="eastAsia" w:ascii="宋体" w:hAnsi="宋体" w:cs="宋体"/>
                <w:kern w:val="0"/>
                <w:sz w:val="20"/>
                <w:szCs w:val="20"/>
              </w:rPr>
            </w:pPr>
            <w:r>
              <w:rPr>
                <w:rFonts w:hint="eastAsia" w:ascii="宋体" w:hAnsi="宋体" w:cs="宋体"/>
                <w:kern w:val="0"/>
                <w:sz w:val="20"/>
                <w:szCs w:val="20"/>
              </w:rPr>
              <w:t>&gt;=1095人</w:t>
            </w:r>
          </w:p>
        </w:tc>
        <w:tc>
          <w:tcPr>
            <w:tcW w:w="701" w:type="pct"/>
            <w:shd w:val="clear" w:color="auto" w:fill="auto"/>
            <w:vAlign w:val="center"/>
          </w:tcPr>
          <w:p w14:paraId="4035921C">
            <w:pPr>
              <w:widowControl/>
              <w:jc w:val="center"/>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vAlign w:val="center"/>
          </w:tcPr>
          <w:p w14:paraId="6233041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08" w:type="pct"/>
            <w:shd w:val="clear" w:color="auto" w:fill="auto"/>
            <w:vAlign w:val="center"/>
          </w:tcPr>
          <w:p w14:paraId="5A3141AB">
            <w:pPr>
              <w:widowControl/>
              <w:jc w:val="center"/>
              <w:rPr>
                <w:rFonts w:hint="eastAsia" w:ascii="宋体" w:hAnsi="宋体" w:cs="宋体"/>
                <w:kern w:val="0"/>
                <w:sz w:val="20"/>
                <w:szCs w:val="20"/>
              </w:rPr>
            </w:pPr>
            <w:r>
              <w:rPr>
                <w:rFonts w:hint="eastAsia" w:ascii="宋体" w:hAnsi="宋体" w:cs="宋体"/>
                <w:kern w:val="0"/>
                <w:sz w:val="20"/>
                <w:szCs w:val="20"/>
              </w:rPr>
              <w:t>1095人</w:t>
            </w:r>
          </w:p>
        </w:tc>
        <w:tc>
          <w:tcPr>
            <w:tcW w:w="354" w:type="pct"/>
            <w:shd w:val="clear" w:color="auto" w:fill="auto"/>
            <w:vAlign w:val="center"/>
          </w:tcPr>
          <w:p w14:paraId="2EB1305D">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11EC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339B6AF5">
            <w:pPr>
              <w:widowControl/>
              <w:jc w:val="left"/>
              <w:rPr>
                <w:rFonts w:hint="eastAsia" w:ascii="宋体" w:hAnsi="宋体" w:cs="宋体"/>
                <w:kern w:val="0"/>
                <w:sz w:val="20"/>
                <w:szCs w:val="20"/>
              </w:rPr>
            </w:pPr>
          </w:p>
        </w:tc>
        <w:tc>
          <w:tcPr>
            <w:tcW w:w="703" w:type="pct"/>
            <w:vMerge w:val="continue"/>
            <w:vAlign w:val="center"/>
          </w:tcPr>
          <w:p w14:paraId="6C631324">
            <w:pPr>
              <w:widowControl/>
              <w:jc w:val="left"/>
              <w:rPr>
                <w:rFonts w:hint="eastAsia" w:ascii="宋体" w:hAnsi="宋体" w:cs="宋体"/>
                <w:kern w:val="0"/>
                <w:sz w:val="20"/>
                <w:szCs w:val="20"/>
              </w:rPr>
            </w:pPr>
          </w:p>
        </w:tc>
        <w:tc>
          <w:tcPr>
            <w:tcW w:w="697" w:type="pct"/>
            <w:shd w:val="clear" w:color="auto" w:fill="auto"/>
            <w:vAlign w:val="center"/>
          </w:tcPr>
          <w:p w14:paraId="2FE239A0">
            <w:pPr>
              <w:widowControl/>
              <w:jc w:val="center"/>
              <w:rPr>
                <w:rFonts w:hint="eastAsia" w:ascii="宋体" w:hAnsi="宋体" w:cs="宋体"/>
                <w:kern w:val="0"/>
                <w:sz w:val="20"/>
                <w:szCs w:val="20"/>
              </w:rPr>
            </w:pPr>
            <w:r>
              <w:rPr>
                <w:rFonts w:hint="eastAsia" w:ascii="宋体" w:hAnsi="宋体" w:cs="宋体"/>
                <w:kern w:val="0"/>
                <w:sz w:val="20"/>
                <w:szCs w:val="20"/>
              </w:rPr>
              <w:t>提供就业帮扶车间岗位数量</w:t>
            </w:r>
          </w:p>
        </w:tc>
        <w:tc>
          <w:tcPr>
            <w:tcW w:w="626" w:type="pct"/>
            <w:shd w:val="clear" w:color="auto" w:fill="auto"/>
            <w:vAlign w:val="center"/>
          </w:tcPr>
          <w:p w14:paraId="14C9782F">
            <w:pPr>
              <w:widowControl/>
              <w:jc w:val="center"/>
              <w:rPr>
                <w:rFonts w:hint="eastAsia" w:ascii="宋体" w:hAnsi="宋体" w:cs="宋体"/>
                <w:kern w:val="0"/>
                <w:sz w:val="20"/>
                <w:szCs w:val="20"/>
              </w:rPr>
            </w:pPr>
            <w:r>
              <w:rPr>
                <w:rFonts w:hint="eastAsia" w:ascii="宋体" w:hAnsi="宋体" w:cs="宋体"/>
                <w:kern w:val="0"/>
                <w:sz w:val="20"/>
                <w:szCs w:val="20"/>
              </w:rPr>
              <w:t>&gt;=490人</w:t>
            </w:r>
          </w:p>
        </w:tc>
        <w:tc>
          <w:tcPr>
            <w:tcW w:w="701" w:type="pct"/>
            <w:shd w:val="clear" w:color="auto" w:fill="auto"/>
            <w:vAlign w:val="center"/>
          </w:tcPr>
          <w:p w14:paraId="10145A60">
            <w:pPr>
              <w:widowControl/>
              <w:jc w:val="center"/>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vAlign w:val="center"/>
          </w:tcPr>
          <w:p w14:paraId="77DBCA4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508" w:type="pct"/>
            <w:shd w:val="clear" w:color="auto" w:fill="auto"/>
            <w:vAlign w:val="center"/>
          </w:tcPr>
          <w:p w14:paraId="45ECB301">
            <w:pPr>
              <w:widowControl/>
              <w:jc w:val="center"/>
              <w:rPr>
                <w:rFonts w:hint="eastAsia" w:ascii="宋体" w:hAnsi="宋体" w:cs="宋体"/>
                <w:kern w:val="0"/>
                <w:sz w:val="20"/>
                <w:szCs w:val="20"/>
              </w:rPr>
            </w:pPr>
            <w:r>
              <w:rPr>
                <w:rFonts w:hint="eastAsia" w:ascii="宋体" w:hAnsi="宋体" w:cs="宋体"/>
                <w:kern w:val="0"/>
                <w:sz w:val="20"/>
                <w:szCs w:val="20"/>
              </w:rPr>
              <w:t>490人</w:t>
            </w:r>
          </w:p>
        </w:tc>
        <w:tc>
          <w:tcPr>
            <w:tcW w:w="354" w:type="pct"/>
            <w:shd w:val="clear" w:color="auto" w:fill="auto"/>
            <w:vAlign w:val="center"/>
          </w:tcPr>
          <w:p w14:paraId="249C0EB2">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3E67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3CF4F5C5">
            <w:pPr>
              <w:widowControl/>
              <w:jc w:val="left"/>
              <w:rPr>
                <w:rFonts w:hint="eastAsia" w:ascii="宋体" w:hAnsi="宋体" w:cs="宋体"/>
                <w:kern w:val="0"/>
                <w:sz w:val="20"/>
                <w:szCs w:val="20"/>
              </w:rPr>
            </w:pPr>
          </w:p>
        </w:tc>
        <w:tc>
          <w:tcPr>
            <w:tcW w:w="703" w:type="pct"/>
            <w:vMerge w:val="continue"/>
            <w:vAlign w:val="center"/>
          </w:tcPr>
          <w:p w14:paraId="1C8553E5">
            <w:pPr>
              <w:widowControl/>
              <w:jc w:val="left"/>
              <w:rPr>
                <w:rFonts w:hint="eastAsia" w:ascii="宋体" w:hAnsi="宋体" w:cs="宋体"/>
                <w:kern w:val="0"/>
                <w:sz w:val="20"/>
                <w:szCs w:val="20"/>
              </w:rPr>
            </w:pPr>
          </w:p>
        </w:tc>
        <w:tc>
          <w:tcPr>
            <w:tcW w:w="697" w:type="pct"/>
            <w:shd w:val="clear" w:color="auto" w:fill="auto"/>
            <w:vAlign w:val="center"/>
          </w:tcPr>
          <w:p w14:paraId="41F03D0D">
            <w:pPr>
              <w:widowControl/>
              <w:jc w:val="left"/>
              <w:rPr>
                <w:rFonts w:hint="eastAsia" w:ascii="宋体" w:hAnsi="宋体" w:cs="宋体"/>
                <w:kern w:val="0"/>
                <w:sz w:val="20"/>
                <w:szCs w:val="20"/>
              </w:rPr>
            </w:pPr>
            <w:r>
              <w:rPr>
                <w:rFonts w:hint="eastAsia" w:ascii="宋体" w:hAnsi="宋体" w:cs="宋体"/>
                <w:kern w:val="0"/>
                <w:sz w:val="20"/>
                <w:szCs w:val="20"/>
              </w:rPr>
              <w:t>脱贫人口务工人数</w:t>
            </w:r>
          </w:p>
        </w:tc>
        <w:tc>
          <w:tcPr>
            <w:tcW w:w="626" w:type="pct"/>
            <w:shd w:val="clear" w:color="auto" w:fill="auto"/>
            <w:noWrap/>
            <w:vAlign w:val="center"/>
          </w:tcPr>
          <w:p w14:paraId="3862F2CA">
            <w:pPr>
              <w:widowControl/>
              <w:jc w:val="left"/>
              <w:rPr>
                <w:rFonts w:hint="eastAsia" w:ascii="宋体" w:hAnsi="宋体" w:cs="宋体"/>
                <w:kern w:val="0"/>
                <w:sz w:val="20"/>
                <w:szCs w:val="20"/>
              </w:rPr>
            </w:pPr>
            <w:r>
              <w:rPr>
                <w:rFonts w:hint="eastAsia" w:ascii="宋体" w:hAnsi="宋体" w:cs="宋体"/>
                <w:kern w:val="0"/>
                <w:sz w:val="20"/>
                <w:szCs w:val="20"/>
              </w:rPr>
              <w:t>&gt;=3156人</w:t>
            </w:r>
          </w:p>
        </w:tc>
        <w:tc>
          <w:tcPr>
            <w:tcW w:w="701" w:type="pct"/>
            <w:shd w:val="clear" w:color="auto" w:fill="auto"/>
            <w:vAlign w:val="center"/>
          </w:tcPr>
          <w:p w14:paraId="47090BC5">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41155CF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08" w:type="pct"/>
            <w:shd w:val="clear" w:color="auto" w:fill="auto"/>
            <w:noWrap/>
            <w:vAlign w:val="center"/>
          </w:tcPr>
          <w:p w14:paraId="6B9CEFE8">
            <w:pPr>
              <w:widowControl/>
              <w:jc w:val="left"/>
              <w:rPr>
                <w:rFonts w:hint="eastAsia" w:ascii="宋体" w:hAnsi="宋体" w:cs="宋体"/>
                <w:kern w:val="0"/>
                <w:sz w:val="20"/>
                <w:szCs w:val="20"/>
              </w:rPr>
            </w:pPr>
            <w:r>
              <w:rPr>
                <w:rFonts w:hint="eastAsia" w:ascii="宋体" w:hAnsi="宋体" w:cs="宋体"/>
                <w:kern w:val="0"/>
                <w:sz w:val="20"/>
                <w:szCs w:val="20"/>
              </w:rPr>
              <w:t>3156人</w:t>
            </w:r>
          </w:p>
        </w:tc>
        <w:tc>
          <w:tcPr>
            <w:tcW w:w="354" w:type="pct"/>
            <w:shd w:val="clear" w:color="auto" w:fill="auto"/>
            <w:noWrap/>
            <w:vAlign w:val="center"/>
          </w:tcPr>
          <w:p w14:paraId="7EAC989B">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6EE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1ED7FD69">
            <w:pPr>
              <w:widowControl/>
              <w:jc w:val="left"/>
              <w:rPr>
                <w:rFonts w:hint="eastAsia" w:ascii="宋体" w:hAnsi="宋体" w:cs="宋体"/>
                <w:kern w:val="0"/>
                <w:sz w:val="20"/>
                <w:szCs w:val="20"/>
              </w:rPr>
            </w:pPr>
          </w:p>
        </w:tc>
        <w:tc>
          <w:tcPr>
            <w:tcW w:w="703" w:type="pct"/>
            <w:vMerge w:val="continue"/>
            <w:vAlign w:val="center"/>
          </w:tcPr>
          <w:p w14:paraId="5F2177B7">
            <w:pPr>
              <w:widowControl/>
              <w:jc w:val="left"/>
              <w:rPr>
                <w:rFonts w:hint="eastAsia" w:ascii="宋体" w:hAnsi="宋体" w:cs="宋体"/>
                <w:kern w:val="0"/>
                <w:sz w:val="20"/>
                <w:szCs w:val="20"/>
              </w:rPr>
            </w:pPr>
          </w:p>
        </w:tc>
        <w:tc>
          <w:tcPr>
            <w:tcW w:w="697" w:type="pct"/>
            <w:shd w:val="clear" w:color="auto" w:fill="auto"/>
            <w:vAlign w:val="center"/>
          </w:tcPr>
          <w:p w14:paraId="21FA87C4">
            <w:pPr>
              <w:widowControl/>
              <w:jc w:val="left"/>
              <w:rPr>
                <w:rFonts w:hint="eastAsia" w:ascii="宋体" w:hAnsi="宋体" w:cs="宋体"/>
                <w:kern w:val="0"/>
                <w:sz w:val="20"/>
                <w:szCs w:val="20"/>
              </w:rPr>
            </w:pPr>
            <w:r>
              <w:rPr>
                <w:rFonts w:hint="eastAsia" w:ascii="宋体" w:hAnsi="宋体" w:cs="宋体"/>
                <w:kern w:val="0"/>
                <w:sz w:val="20"/>
                <w:szCs w:val="20"/>
              </w:rPr>
              <w:t>年度中央和自治区乡村振兴衔接资金建设项目</w:t>
            </w:r>
          </w:p>
        </w:tc>
        <w:tc>
          <w:tcPr>
            <w:tcW w:w="626" w:type="pct"/>
            <w:shd w:val="clear" w:color="auto" w:fill="auto"/>
            <w:noWrap/>
            <w:vAlign w:val="center"/>
          </w:tcPr>
          <w:p w14:paraId="23372D57">
            <w:pPr>
              <w:widowControl/>
              <w:jc w:val="left"/>
              <w:rPr>
                <w:rFonts w:hint="eastAsia" w:ascii="宋体" w:hAnsi="宋体" w:cs="宋体"/>
                <w:kern w:val="0"/>
                <w:sz w:val="20"/>
                <w:szCs w:val="20"/>
              </w:rPr>
            </w:pPr>
            <w:r>
              <w:rPr>
                <w:rFonts w:hint="eastAsia" w:ascii="宋体" w:hAnsi="宋体" w:cs="宋体"/>
                <w:kern w:val="0"/>
                <w:sz w:val="20"/>
                <w:szCs w:val="20"/>
              </w:rPr>
              <w:t>&gt;=14个</w:t>
            </w:r>
          </w:p>
        </w:tc>
        <w:tc>
          <w:tcPr>
            <w:tcW w:w="701" w:type="pct"/>
            <w:shd w:val="clear" w:color="auto" w:fill="auto"/>
            <w:vAlign w:val="center"/>
          </w:tcPr>
          <w:p w14:paraId="16D332DB">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3F52C3A4">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08" w:type="pct"/>
            <w:shd w:val="clear" w:color="auto" w:fill="auto"/>
            <w:noWrap/>
            <w:vAlign w:val="center"/>
          </w:tcPr>
          <w:p w14:paraId="65283A60">
            <w:pPr>
              <w:widowControl/>
              <w:jc w:val="left"/>
              <w:rPr>
                <w:rFonts w:hint="eastAsia" w:ascii="宋体" w:hAnsi="宋体" w:cs="宋体"/>
                <w:kern w:val="0"/>
                <w:sz w:val="20"/>
                <w:szCs w:val="20"/>
              </w:rPr>
            </w:pPr>
            <w:r>
              <w:rPr>
                <w:rFonts w:hint="eastAsia" w:ascii="宋体" w:hAnsi="宋体" w:cs="宋体"/>
                <w:kern w:val="0"/>
                <w:sz w:val="20"/>
                <w:szCs w:val="20"/>
              </w:rPr>
              <w:t>14个</w:t>
            </w:r>
          </w:p>
        </w:tc>
        <w:tc>
          <w:tcPr>
            <w:tcW w:w="354" w:type="pct"/>
            <w:shd w:val="clear" w:color="auto" w:fill="auto"/>
            <w:noWrap/>
            <w:vAlign w:val="center"/>
          </w:tcPr>
          <w:p w14:paraId="53545FDF">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2A9AA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73A92E84">
            <w:pPr>
              <w:widowControl/>
              <w:jc w:val="left"/>
              <w:rPr>
                <w:rFonts w:hint="eastAsia" w:ascii="宋体" w:hAnsi="宋体" w:cs="宋体"/>
                <w:kern w:val="0"/>
                <w:sz w:val="20"/>
                <w:szCs w:val="20"/>
              </w:rPr>
            </w:pPr>
          </w:p>
        </w:tc>
        <w:tc>
          <w:tcPr>
            <w:tcW w:w="703" w:type="pct"/>
            <w:vMerge w:val="continue"/>
            <w:vAlign w:val="center"/>
          </w:tcPr>
          <w:p w14:paraId="3C6A7B9C">
            <w:pPr>
              <w:widowControl/>
              <w:jc w:val="left"/>
              <w:rPr>
                <w:rFonts w:hint="eastAsia" w:ascii="宋体" w:hAnsi="宋体" w:cs="宋体"/>
                <w:kern w:val="0"/>
                <w:sz w:val="20"/>
                <w:szCs w:val="20"/>
              </w:rPr>
            </w:pPr>
          </w:p>
        </w:tc>
        <w:tc>
          <w:tcPr>
            <w:tcW w:w="697" w:type="pct"/>
            <w:shd w:val="clear" w:color="auto" w:fill="auto"/>
            <w:vAlign w:val="center"/>
          </w:tcPr>
          <w:p w14:paraId="5C14DAAC">
            <w:pPr>
              <w:widowControl/>
              <w:jc w:val="left"/>
              <w:rPr>
                <w:rFonts w:hint="eastAsia" w:ascii="宋体" w:hAnsi="宋体" w:cs="宋体"/>
                <w:kern w:val="0"/>
                <w:sz w:val="20"/>
                <w:szCs w:val="20"/>
              </w:rPr>
            </w:pPr>
            <w:r>
              <w:rPr>
                <w:rFonts w:hint="eastAsia" w:ascii="宋体" w:hAnsi="宋体" w:cs="宋体"/>
                <w:kern w:val="0"/>
                <w:sz w:val="20"/>
                <w:szCs w:val="20"/>
              </w:rPr>
              <w:t>示范村新建户厕</w:t>
            </w:r>
          </w:p>
        </w:tc>
        <w:tc>
          <w:tcPr>
            <w:tcW w:w="626" w:type="pct"/>
            <w:shd w:val="clear" w:color="auto" w:fill="auto"/>
            <w:noWrap/>
            <w:vAlign w:val="center"/>
          </w:tcPr>
          <w:p w14:paraId="2715F1DF">
            <w:pPr>
              <w:widowControl/>
              <w:jc w:val="left"/>
              <w:rPr>
                <w:rFonts w:hint="eastAsia" w:ascii="宋体" w:hAnsi="宋体" w:cs="宋体"/>
                <w:kern w:val="0"/>
                <w:sz w:val="20"/>
                <w:szCs w:val="20"/>
              </w:rPr>
            </w:pPr>
            <w:r>
              <w:rPr>
                <w:rFonts w:hint="eastAsia" w:ascii="宋体" w:hAnsi="宋体" w:cs="宋体"/>
                <w:kern w:val="0"/>
                <w:sz w:val="20"/>
                <w:szCs w:val="20"/>
              </w:rPr>
              <w:t>&gt;=225座</w:t>
            </w:r>
          </w:p>
        </w:tc>
        <w:tc>
          <w:tcPr>
            <w:tcW w:w="701" w:type="pct"/>
            <w:shd w:val="clear" w:color="auto" w:fill="auto"/>
            <w:vAlign w:val="center"/>
          </w:tcPr>
          <w:p w14:paraId="0FECB562">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06F71B04">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508" w:type="pct"/>
            <w:shd w:val="clear" w:color="auto" w:fill="auto"/>
            <w:noWrap/>
            <w:vAlign w:val="center"/>
          </w:tcPr>
          <w:p w14:paraId="50D41496">
            <w:pPr>
              <w:widowControl/>
              <w:jc w:val="left"/>
              <w:rPr>
                <w:rFonts w:hint="eastAsia" w:ascii="宋体" w:hAnsi="宋体" w:cs="宋体"/>
                <w:kern w:val="0"/>
                <w:sz w:val="20"/>
                <w:szCs w:val="20"/>
              </w:rPr>
            </w:pPr>
            <w:r>
              <w:rPr>
                <w:rFonts w:hint="eastAsia" w:ascii="宋体" w:hAnsi="宋体" w:cs="宋体"/>
                <w:kern w:val="0"/>
                <w:sz w:val="20"/>
                <w:szCs w:val="20"/>
              </w:rPr>
              <w:t>225座</w:t>
            </w:r>
          </w:p>
        </w:tc>
        <w:tc>
          <w:tcPr>
            <w:tcW w:w="354" w:type="pct"/>
            <w:shd w:val="clear" w:color="auto" w:fill="auto"/>
            <w:noWrap/>
            <w:vAlign w:val="center"/>
          </w:tcPr>
          <w:p w14:paraId="732697CE">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78CA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0A170375">
            <w:pPr>
              <w:widowControl/>
              <w:jc w:val="left"/>
              <w:rPr>
                <w:rFonts w:hint="eastAsia" w:ascii="宋体" w:hAnsi="宋体" w:cs="宋体"/>
                <w:kern w:val="0"/>
                <w:sz w:val="20"/>
                <w:szCs w:val="20"/>
              </w:rPr>
            </w:pPr>
          </w:p>
        </w:tc>
        <w:tc>
          <w:tcPr>
            <w:tcW w:w="703" w:type="pct"/>
            <w:vMerge w:val="continue"/>
            <w:vAlign w:val="center"/>
          </w:tcPr>
          <w:p w14:paraId="2FEC4BB7">
            <w:pPr>
              <w:widowControl/>
              <w:jc w:val="left"/>
              <w:rPr>
                <w:rFonts w:hint="eastAsia" w:ascii="宋体" w:hAnsi="宋体" w:cs="宋体"/>
                <w:kern w:val="0"/>
                <w:sz w:val="20"/>
                <w:szCs w:val="20"/>
              </w:rPr>
            </w:pPr>
          </w:p>
        </w:tc>
        <w:tc>
          <w:tcPr>
            <w:tcW w:w="697" w:type="pct"/>
            <w:shd w:val="clear" w:color="auto" w:fill="auto"/>
            <w:vAlign w:val="center"/>
          </w:tcPr>
          <w:p w14:paraId="17216567">
            <w:pPr>
              <w:widowControl/>
              <w:jc w:val="left"/>
              <w:rPr>
                <w:rFonts w:hint="eastAsia" w:ascii="宋体" w:hAnsi="宋体" w:cs="宋体"/>
                <w:kern w:val="0"/>
                <w:sz w:val="20"/>
                <w:szCs w:val="20"/>
              </w:rPr>
            </w:pPr>
            <w:r>
              <w:rPr>
                <w:rFonts w:hint="eastAsia" w:ascii="宋体" w:hAnsi="宋体" w:cs="宋体"/>
                <w:kern w:val="0"/>
                <w:sz w:val="20"/>
                <w:szCs w:val="20"/>
              </w:rPr>
              <w:t>示范村整改户厕</w:t>
            </w:r>
          </w:p>
        </w:tc>
        <w:tc>
          <w:tcPr>
            <w:tcW w:w="626" w:type="pct"/>
            <w:shd w:val="clear" w:color="auto" w:fill="auto"/>
            <w:noWrap/>
            <w:vAlign w:val="center"/>
          </w:tcPr>
          <w:p w14:paraId="773BE38D">
            <w:pPr>
              <w:widowControl/>
              <w:jc w:val="left"/>
              <w:rPr>
                <w:rFonts w:hint="eastAsia" w:ascii="宋体" w:hAnsi="宋体" w:cs="宋体"/>
                <w:kern w:val="0"/>
                <w:sz w:val="20"/>
                <w:szCs w:val="20"/>
              </w:rPr>
            </w:pPr>
            <w:r>
              <w:rPr>
                <w:rFonts w:hint="eastAsia" w:ascii="宋体" w:hAnsi="宋体" w:cs="宋体"/>
                <w:kern w:val="0"/>
                <w:sz w:val="20"/>
                <w:szCs w:val="20"/>
              </w:rPr>
              <w:t>&gt;=110座</w:t>
            </w:r>
          </w:p>
        </w:tc>
        <w:tc>
          <w:tcPr>
            <w:tcW w:w="701" w:type="pct"/>
            <w:shd w:val="clear" w:color="auto" w:fill="auto"/>
            <w:vAlign w:val="center"/>
          </w:tcPr>
          <w:p w14:paraId="4F958ED5">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37956FE6">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508" w:type="pct"/>
            <w:shd w:val="clear" w:color="auto" w:fill="auto"/>
            <w:noWrap/>
            <w:vAlign w:val="center"/>
          </w:tcPr>
          <w:p w14:paraId="7AF2A152">
            <w:pPr>
              <w:widowControl/>
              <w:jc w:val="left"/>
              <w:rPr>
                <w:rFonts w:hint="eastAsia" w:ascii="宋体" w:hAnsi="宋体" w:cs="宋体"/>
                <w:kern w:val="0"/>
                <w:sz w:val="20"/>
                <w:szCs w:val="20"/>
              </w:rPr>
            </w:pPr>
            <w:r>
              <w:rPr>
                <w:rFonts w:hint="eastAsia" w:ascii="宋体" w:hAnsi="宋体" w:cs="宋体"/>
                <w:kern w:val="0"/>
                <w:sz w:val="20"/>
                <w:szCs w:val="20"/>
              </w:rPr>
              <w:t>110座</w:t>
            </w:r>
          </w:p>
        </w:tc>
        <w:tc>
          <w:tcPr>
            <w:tcW w:w="354" w:type="pct"/>
            <w:shd w:val="clear" w:color="auto" w:fill="auto"/>
            <w:noWrap/>
            <w:vAlign w:val="center"/>
          </w:tcPr>
          <w:p w14:paraId="4923ADAA">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3231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65" w:type="pct"/>
            <w:vMerge w:val="continue"/>
            <w:vAlign w:val="center"/>
          </w:tcPr>
          <w:p w14:paraId="01626122">
            <w:pPr>
              <w:widowControl/>
              <w:jc w:val="left"/>
              <w:rPr>
                <w:rFonts w:hint="eastAsia" w:ascii="宋体" w:hAnsi="宋体" w:cs="宋体"/>
                <w:kern w:val="0"/>
                <w:sz w:val="20"/>
                <w:szCs w:val="20"/>
              </w:rPr>
            </w:pPr>
          </w:p>
        </w:tc>
        <w:tc>
          <w:tcPr>
            <w:tcW w:w="703" w:type="pct"/>
            <w:vMerge w:val="continue"/>
            <w:vAlign w:val="center"/>
          </w:tcPr>
          <w:p w14:paraId="363513EB">
            <w:pPr>
              <w:widowControl/>
              <w:jc w:val="left"/>
              <w:rPr>
                <w:rFonts w:hint="eastAsia" w:ascii="宋体" w:hAnsi="宋体" w:cs="宋体"/>
                <w:kern w:val="0"/>
                <w:sz w:val="20"/>
                <w:szCs w:val="20"/>
              </w:rPr>
            </w:pPr>
          </w:p>
        </w:tc>
        <w:tc>
          <w:tcPr>
            <w:tcW w:w="697" w:type="pct"/>
            <w:shd w:val="clear" w:color="auto" w:fill="auto"/>
            <w:vAlign w:val="center"/>
          </w:tcPr>
          <w:p w14:paraId="2D49EB8D">
            <w:pPr>
              <w:widowControl/>
              <w:jc w:val="left"/>
              <w:rPr>
                <w:rFonts w:hint="eastAsia" w:ascii="宋体" w:hAnsi="宋体" w:cs="宋体"/>
                <w:kern w:val="0"/>
                <w:sz w:val="20"/>
                <w:szCs w:val="20"/>
              </w:rPr>
            </w:pPr>
            <w:r>
              <w:rPr>
                <w:rFonts w:hint="eastAsia" w:ascii="宋体" w:hAnsi="宋体" w:cs="宋体"/>
                <w:kern w:val="0"/>
                <w:sz w:val="20"/>
                <w:szCs w:val="20"/>
              </w:rPr>
              <w:t>完成“一乡一村”建设任务</w:t>
            </w:r>
          </w:p>
        </w:tc>
        <w:tc>
          <w:tcPr>
            <w:tcW w:w="626" w:type="pct"/>
            <w:shd w:val="clear" w:color="auto" w:fill="auto"/>
            <w:noWrap/>
            <w:vAlign w:val="center"/>
          </w:tcPr>
          <w:p w14:paraId="07DE429D">
            <w:pPr>
              <w:widowControl/>
              <w:jc w:val="left"/>
              <w:rPr>
                <w:rFonts w:hint="eastAsia" w:ascii="宋体" w:hAnsi="宋体" w:cs="宋体"/>
                <w:kern w:val="0"/>
                <w:sz w:val="20"/>
                <w:szCs w:val="20"/>
              </w:rPr>
            </w:pPr>
            <w:r>
              <w:rPr>
                <w:rFonts w:hint="eastAsia" w:ascii="宋体" w:hAnsi="宋体" w:cs="宋体"/>
                <w:kern w:val="0"/>
                <w:sz w:val="20"/>
                <w:szCs w:val="20"/>
              </w:rPr>
              <w:t>&gt;=10个</w:t>
            </w:r>
          </w:p>
        </w:tc>
        <w:tc>
          <w:tcPr>
            <w:tcW w:w="701" w:type="pct"/>
            <w:shd w:val="clear" w:color="auto" w:fill="auto"/>
            <w:vAlign w:val="center"/>
          </w:tcPr>
          <w:p w14:paraId="74AE31F6">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59BF9BA8">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508" w:type="pct"/>
            <w:shd w:val="clear" w:color="auto" w:fill="auto"/>
            <w:noWrap/>
            <w:vAlign w:val="center"/>
          </w:tcPr>
          <w:p w14:paraId="26C36E73">
            <w:pPr>
              <w:widowControl/>
              <w:jc w:val="left"/>
              <w:rPr>
                <w:rFonts w:hint="eastAsia" w:ascii="宋体" w:hAnsi="宋体" w:cs="宋体"/>
                <w:kern w:val="0"/>
                <w:sz w:val="20"/>
                <w:szCs w:val="20"/>
              </w:rPr>
            </w:pPr>
            <w:r>
              <w:rPr>
                <w:rFonts w:hint="eastAsia" w:ascii="宋体" w:hAnsi="宋体" w:cs="宋体"/>
                <w:kern w:val="0"/>
                <w:sz w:val="20"/>
                <w:szCs w:val="20"/>
              </w:rPr>
              <w:t>10个</w:t>
            </w:r>
          </w:p>
        </w:tc>
        <w:tc>
          <w:tcPr>
            <w:tcW w:w="354" w:type="pct"/>
            <w:shd w:val="clear" w:color="auto" w:fill="auto"/>
            <w:noWrap/>
            <w:vAlign w:val="center"/>
          </w:tcPr>
          <w:p w14:paraId="3270F344">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0615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1065" w:type="pct"/>
            <w:shd w:val="clear" w:color="auto" w:fill="auto"/>
            <w:noWrap/>
            <w:vAlign w:val="center"/>
          </w:tcPr>
          <w:p w14:paraId="27A7E377">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703" w:type="pct"/>
            <w:shd w:val="clear" w:color="auto" w:fill="auto"/>
            <w:noWrap/>
            <w:vAlign w:val="center"/>
          </w:tcPr>
          <w:p w14:paraId="6ECE13C9">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697" w:type="pct"/>
            <w:shd w:val="clear" w:color="auto" w:fill="auto"/>
            <w:vAlign w:val="center"/>
          </w:tcPr>
          <w:p w14:paraId="72D9F1C3">
            <w:pPr>
              <w:widowControl/>
              <w:jc w:val="left"/>
              <w:rPr>
                <w:rFonts w:hint="eastAsia" w:ascii="宋体" w:hAnsi="宋体" w:cs="宋体"/>
                <w:kern w:val="0"/>
                <w:sz w:val="20"/>
                <w:szCs w:val="20"/>
              </w:rPr>
            </w:pPr>
            <w:r>
              <w:rPr>
                <w:rFonts w:hint="eastAsia" w:ascii="宋体" w:hAnsi="宋体" w:cs="宋体"/>
                <w:kern w:val="0"/>
                <w:sz w:val="20"/>
                <w:szCs w:val="20"/>
              </w:rPr>
              <w:t>开展年度</w:t>
            </w:r>
            <w:r>
              <w:rPr>
                <w:rFonts w:hint="eastAsia" w:ascii="宋体" w:hAnsi="宋体" w:cs="宋体"/>
                <w:kern w:val="0"/>
                <w:sz w:val="20"/>
                <w:szCs w:val="20"/>
                <w:lang w:eastAsia="zh-CN"/>
              </w:rPr>
              <w:t>巩固拓展脱贫攻坚成果</w:t>
            </w:r>
            <w:r>
              <w:rPr>
                <w:rFonts w:hint="eastAsia" w:ascii="宋体" w:hAnsi="宋体" w:cs="宋体"/>
                <w:kern w:val="0"/>
                <w:sz w:val="20"/>
                <w:szCs w:val="20"/>
              </w:rPr>
              <w:t>信息采集工作上报率</w:t>
            </w:r>
          </w:p>
        </w:tc>
        <w:tc>
          <w:tcPr>
            <w:tcW w:w="626" w:type="pct"/>
            <w:shd w:val="clear" w:color="auto" w:fill="auto"/>
            <w:noWrap/>
            <w:vAlign w:val="center"/>
          </w:tcPr>
          <w:p w14:paraId="2E1CCDD6">
            <w:pPr>
              <w:widowControl/>
              <w:jc w:val="left"/>
              <w:rPr>
                <w:rFonts w:hint="eastAsia" w:ascii="宋体" w:hAnsi="宋体" w:cs="宋体"/>
                <w:kern w:val="0"/>
                <w:sz w:val="20"/>
                <w:szCs w:val="20"/>
              </w:rPr>
            </w:pPr>
            <w:bookmarkStart w:id="48" w:name="_GoBack"/>
            <w:r>
              <w:rPr>
                <w:rFonts w:hint="eastAsia" w:ascii="宋体" w:hAnsi="宋体" w:cs="宋体"/>
                <w:kern w:val="0"/>
                <w:sz w:val="20"/>
                <w:szCs w:val="20"/>
              </w:rPr>
              <w:t>&gt;</w:t>
            </w:r>
            <w:bookmarkEnd w:id="48"/>
            <w:r>
              <w:rPr>
                <w:rFonts w:hint="eastAsia" w:ascii="宋体" w:hAnsi="宋体" w:cs="宋体"/>
                <w:kern w:val="0"/>
                <w:sz w:val="20"/>
                <w:szCs w:val="20"/>
              </w:rPr>
              <w:t>=90%</w:t>
            </w:r>
          </w:p>
        </w:tc>
        <w:tc>
          <w:tcPr>
            <w:tcW w:w="701" w:type="pct"/>
            <w:shd w:val="clear" w:color="auto" w:fill="auto"/>
            <w:vAlign w:val="center"/>
          </w:tcPr>
          <w:p w14:paraId="2211584C">
            <w:pPr>
              <w:widowControl/>
              <w:jc w:val="left"/>
              <w:rPr>
                <w:rFonts w:hint="eastAsia" w:ascii="宋体" w:hAnsi="宋体" w:cs="宋体"/>
                <w:kern w:val="0"/>
                <w:sz w:val="20"/>
                <w:szCs w:val="20"/>
              </w:rPr>
            </w:pPr>
            <w:r>
              <w:rPr>
                <w:rFonts w:hint="eastAsia" w:ascii="宋体" w:hAnsi="宋体" w:cs="宋体"/>
                <w:kern w:val="0"/>
                <w:sz w:val="20"/>
                <w:szCs w:val="20"/>
              </w:rPr>
              <w:t>木垒哈萨克自治县乡村振兴综合</w:t>
            </w:r>
            <w:r>
              <w:rPr>
                <w:rFonts w:hint="eastAsia" w:ascii="宋体" w:hAnsi="宋体" w:cs="宋体"/>
                <w:kern w:val="0"/>
                <w:sz w:val="20"/>
                <w:szCs w:val="20"/>
                <w:lang w:eastAsia="zh-CN"/>
              </w:rPr>
              <w:t>保障</w:t>
            </w:r>
            <w:r>
              <w:rPr>
                <w:rFonts w:hint="eastAsia" w:ascii="宋体" w:hAnsi="宋体" w:cs="宋体"/>
                <w:kern w:val="0"/>
                <w:sz w:val="20"/>
                <w:szCs w:val="20"/>
              </w:rPr>
              <w:t>中心2023年工作计划</w:t>
            </w:r>
          </w:p>
        </w:tc>
        <w:tc>
          <w:tcPr>
            <w:tcW w:w="343" w:type="pct"/>
            <w:shd w:val="clear" w:color="auto" w:fill="auto"/>
            <w:noWrap/>
            <w:vAlign w:val="center"/>
          </w:tcPr>
          <w:p w14:paraId="0E750F03">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508" w:type="pct"/>
            <w:shd w:val="clear" w:color="auto" w:fill="auto"/>
            <w:noWrap/>
            <w:vAlign w:val="center"/>
          </w:tcPr>
          <w:p w14:paraId="3BCDB0CB">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354" w:type="pct"/>
            <w:shd w:val="clear" w:color="auto" w:fill="auto"/>
            <w:noWrap/>
            <w:vAlign w:val="center"/>
          </w:tcPr>
          <w:p w14:paraId="5D043941">
            <w:pPr>
              <w:widowControl/>
              <w:jc w:val="left"/>
              <w:rPr>
                <w:rFonts w:hint="eastAsia" w:ascii="宋体" w:hAnsi="宋体" w:cs="宋体"/>
                <w:kern w:val="0"/>
                <w:sz w:val="20"/>
                <w:szCs w:val="20"/>
              </w:rPr>
            </w:pPr>
            <w:r>
              <w:rPr>
                <w:rFonts w:hint="eastAsia" w:ascii="宋体" w:hAnsi="宋体" w:cs="宋体"/>
                <w:kern w:val="0"/>
                <w:sz w:val="20"/>
                <w:szCs w:val="20"/>
              </w:rPr>
              <w:t>8</w:t>
            </w:r>
          </w:p>
        </w:tc>
      </w:tr>
    </w:tbl>
    <w:p w14:paraId="4C39567E">
      <w:pPr>
        <w:rPr>
          <w:rFonts w:hint="eastAsia" w:asciiTheme="minorEastAsia" w:hAnsiTheme="minorEastAsia" w:eastAsiaTheme="minorEastAsia"/>
          <w:b/>
          <w:bCs/>
          <w:sz w:val="32"/>
          <w:szCs w:val="32"/>
        </w:rPr>
      </w:pPr>
    </w:p>
    <w:p w14:paraId="65BDF1E3">
      <w:pPr>
        <w:ind w:firstLine="643" w:firstLineChars="200"/>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项目支出绩效自评表</w:t>
      </w:r>
    </w:p>
    <w:p w14:paraId="4A79DCBC">
      <w:pPr>
        <w:ind w:firstLine="400" w:firstLineChars="200"/>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（2023年度）</w:t>
      </w:r>
    </w:p>
    <w:tbl>
      <w:tblPr>
        <w:tblStyle w:val="9"/>
        <w:tblW w:w="4861" w:type="pct"/>
        <w:tblInd w:w="0" w:type="dxa"/>
        <w:tblLayout w:type="fixed"/>
        <w:tblCellMar>
          <w:top w:w="0" w:type="dxa"/>
          <w:left w:w="108" w:type="dxa"/>
          <w:bottom w:w="0" w:type="dxa"/>
          <w:right w:w="108" w:type="dxa"/>
        </w:tblCellMar>
      </w:tblPr>
      <w:tblGrid>
        <w:gridCol w:w="413"/>
        <w:gridCol w:w="414"/>
        <w:gridCol w:w="1120"/>
        <w:gridCol w:w="564"/>
        <w:gridCol w:w="1282"/>
        <w:gridCol w:w="269"/>
        <w:gridCol w:w="915"/>
        <w:gridCol w:w="815"/>
        <w:gridCol w:w="297"/>
        <w:gridCol w:w="218"/>
        <w:gridCol w:w="346"/>
        <w:gridCol w:w="182"/>
        <w:gridCol w:w="733"/>
        <w:gridCol w:w="718"/>
      </w:tblGrid>
      <w:tr w14:paraId="4FCCDD5C">
        <w:tblPrEx>
          <w:tblCellMar>
            <w:top w:w="0" w:type="dxa"/>
            <w:left w:w="108" w:type="dxa"/>
            <w:bottom w:w="0" w:type="dxa"/>
            <w:right w:w="108" w:type="dxa"/>
          </w:tblCellMar>
        </w:tblPrEx>
        <w:trPr>
          <w:trHeight w:val="267" w:hRule="atLeast"/>
        </w:trPr>
        <w:tc>
          <w:tcPr>
            <w:tcW w:w="4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19C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0" w:type="pct"/>
            <w:gridSpan w:val="12"/>
            <w:tcBorders>
              <w:top w:val="single" w:color="auto" w:sz="4" w:space="0"/>
              <w:left w:val="nil"/>
              <w:bottom w:val="single" w:color="auto" w:sz="4" w:space="0"/>
              <w:right w:val="single" w:color="000000" w:sz="4" w:space="0"/>
            </w:tcBorders>
            <w:shd w:val="clear" w:color="auto" w:fill="auto"/>
            <w:vAlign w:val="center"/>
          </w:tcPr>
          <w:p w14:paraId="29AC3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政府防返贫救助保险</w:t>
            </w:r>
          </w:p>
        </w:tc>
      </w:tr>
      <w:tr w14:paraId="3EEE0D0C">
        <w:tblPrEx>
          <w:tblCellMar>
            <w:top w:w="0" w:type="dxa"/>
            <w:left w:w="108" w:type="dxa"/>
            <w:bottom w:w="0" w:type="dxa"/>
            <w:right w:w="108" w:type="dxa"/>
          </w:tblCellMar>
        </w:tblPrEx>
        <w:trPr>
          <w:trHeight w:val="564" w:hRule="atLeast"/>
        </w:trPr>
        <w:tc>
          <w:tcPr>
            <w:tcW w:w="4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54E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4" w:type="pct"/>
            <w:gridSpan w:val="5"/>
            <w:tcBorders>
              <w:top w:val="single" w:color="auto" w:sz="4" w:space="0"/>
              <w:left w:val="nil"/>
              <w:bottom w:val="single" w:color="auto" w:sz="4" w:space="0"/>
              <w:right w:val="single" w:color="auto" w:sz="4" w:space="0"/>
            </w:tcBorders>
            <w:shd w:val="clear" w:color="auto" w:fill="auto"/>
            <w:vAlign w:val="center"/>
          </w:tcPr>
          <w:p w14:paraId="317FD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乡村振兴综合保障中心</w:t>
            </w:r>
          </w:p>
        </w:tc>
        <w:tc>
          <w:tcPr>
            <w:tcW w:w="671" w:type="pct"/>
            <w:gridSpan w:val="2"/>
            <w:tcBorders>
              <w:top w:val="single" w:color="auto" w:sz="4" w:space="0"/>
              <w:left w:val="nil"/>
              <w:bottom w:val="single" w:color="auto" w:sz="4" w:space="0"/>
              <w:right w:val="single" w:color="auto" w:sz="4" w:space="0"/>
            </w:tcBorders>
            <w:shd w:val="clear" w:color="auto" w:fill="auto"/>
            <w:vAlign w:val="center"/>
          </w:tcPr>
          <w:p w14:paraId="115F2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5" w:type="pct"/>
            <w:gridSpan w:val="5"/>
            <w:tcBorders>
              <w:top w:val="single" w:color="auto" w:sz="4" w:space="0"/>
              <w:left w:val="nil"/>
              <w:bottom w:val="single" w:color="auto" w:sz="4" w:space="0"/>
              <w:right w:val="single" w:color="auto" w:sz="4" w:space="0"/>
            </w:tcBorders>
            <w:shd w:val="clear" w:color="auto" w:fill="auto"/>
            <w:vAlign w:val="center"/>
          </w:tcPr>
          <w:p w14:paraId="0A1E1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乡村振兴综合保障中心</w:t>
            </w:r>
          </w:p>
        </w:tc>
      </w:tr>
      <w:tr w14:paraId="29B57128">
        <w:tblPrEx>
          <w:tblCellMar>
            <w:top w:w="0" w:type="dxa"/>
            <w:left w:w="108" w:type="dxa"/>
            <w:bottom w:w="0" w:type="dxa"/>
            <w:right w:w="108" w:type="dxa"/>
          </w:tblCellMar>
        </w:tblPrEx>
        <w:trPr>
          <w:trHeight w:val="475" w:hRule="atLeast"/>
        </w:trPr>
        <w:tc>
          <w:tcPr>
            <w:tcW w:w="4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776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6" w:type="pct"/>
            <w:gridSpan w:val="2"/>
            <w:tcBorders>
              <w:top w:val="single" w:color="auto" w:sz="4" w:space="0"/>
              <w:left w:val="nil"/>
              <w:bottom w:val="single" w:color="auto" w:sz="4" w:space="0"/>
              <w:right w:val="single" w:color="auto" w:sz="4" w:space="0"/>
            </w:tcBorders>
            <w:shd w:val="clear" w:color="auto" w:fill="auto"/>
            <w:vAlign w:val="center"/>
          </w:tcPr>
          <w:p w14:paraId="78BE1B63">
            <w:pPr>
              <w:widowControl/>
              <w:jc w:val="center"/>
              <w:rPr>
                <w:rFonts w:hint="eastAsia" w:ascii="宋体" w:hAnsi="宋体" w:cs="宋体"/>
                <w:color w:val="000000"/>
                <w:kern w:val="0"/>
                <w:sz w:val="20"/>
                <w:szCs w:val="20"/>
              </w:rPr>
            </w:pPr>
          </w:p>
        </w:tc>
        <w:tc>
          <w:tcPr>
            <w:tcW w:w="773" w:type="pct"/>
            <w:tcBorders>
              <w:top w:val="single" w:color="auto" w:sz="4" w:space="0"/>
              <w:left w:val="nil"/>
              <w:bottom w:val="single" w:color="auto" w:sz="4" w:space="0"/>
              <w:right w:val="single" w:color="auto" w:sz="4" w:space="0"/>
            </w:tcBorders>
            <w:shd w:val="clear" w:color="auto" w:fill="auto"/>
            <w:vAlign w:val="center"/>
          </w:tcPr>
          <w:p w14:paraId="302D9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5F071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71" w:type="pct"/>
            <w:gridSpan w:val="2"/>
            <w:tcBorders>
              <w:top w:val="single" w:color="auto" w:sz="4" w:space="0"/>
              <w:left w:val="nil"/>
              <w:bottom w:val="single" w:color="auto" w:sz="4" w:space="0"/>
              <w:right w:val="single" w:color="auto" w:sz="4" w:space="0"/>
            </w:tcBorders>
            <w:shd w:val="clear" w:color="auto" w:fill="auto"/>
            <w:vAlign w:val="center"/>
          </w:tcPr>
          <w:p w14:paraId="2E3CD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6FF35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68EE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single" w:color="auto" w:sz="4" w:space="0"/>
              <w:left w:val="nil"/>
              <w:bottom w:val="single" w:color="auto" w:sz="4" w:space="0"/>
              <w:right w:val="single" w:color="auto" w:sz="4" w:space="0"/>
            </w:tcBorders>
            <w:shd w:val="clear" w:color="auto" w:fill="auto"/>
            <w:vAlign w:val="center"/>
          </w:tcPr>
          <w:p w14:paraId="12B7A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CF3A5B">
        <w:tblPrEx>
          <w:tblCellMar>
            <w:top w:w="0" w:type="dxa"/>
            <w:left w:w="108" w:type="dxa"/>
            <w:bottom w:w="0" w:type="dxa"/>
            <w:right w:w="108" w:type="dxa"/>
          </w:tblCellMar>
        </w:tblPrEx>
        <w:trPr>
          <w:trHeight w:val="434"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30C2CA3F">
            <w:pPr>
              <w:widowControl/>
              <w:jc w:val="left"/>
              <w:rPr>
                <w:rFonts w:hint="eastAsia" w:ascii="宋体" w:hAnsi="宋体" w:cs="宋体"/>
                <w:color w:val="000000"/>
                <w:kern w:val="0"/>
                <w:sz w:val="20"/>
                <w:szCs w:val="20"/>
              </w:rPr>
            </w:pPr>
          </w:p>
        </w:tc>
        <w:tc>
          <w:tcPr>
            <w:tcW w:w="1016" w:type="pct"/>
            <w:gridSpan w:val="2"/>
            <w:tcBorders>
              <w:top w:val="single" w:color="auto" w:sz="4" w:space="0"/>
              <w:left w:val="nil"/>
              <w:bottom w:val="single" w:color="auto" w:sz="4" w:space="0"/>
              <w:right w:val="single" w:color="auto" w:sz="4" w:space="0"/>
            </w:tcBorders>
            <w:shd w:val="clear" w:color="auto" w:fill="auto"/>
            <w:vAlign w:val="center"/>
          </w:tcPr>
          <w:p w14:paraId="3BD5A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3" w:type="pct"/>
            <w:tcBorders>
              <w:top w:val="single" w:color="auto" w:sz="4" w:space="0"/>
              <w:left w:val="nil"/>
              <w:bottom w:val="single" w:color="auto" w:sz="4" w:space="0"/>
              <w:right w:val="single" w:color="auto" w:sz="4" w:space="0"/>
            </w:tcBorders>
            <w:shd w:val="clear" w:color="auto" w:fill="auto"/>
            <w:vAlign w:val="center"/>
          </w:tcPr>
          <w:p w14:paraId="0F810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4918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671" w:type="pct"/>
            <w:gridSpan w:val="2"/>
            <w:tcBorders>
              <w:top w:val="single" w:color="auto" w:sz="4" w:space="0"/>
              <w:left w:val="nil"/>
              <w:bottom w:val="single" w:color="auto" w:sz="4" w:space="0"/>
              <w:right w:val="single" w:color="auto" w:sz="4" w:space="0"/>
            </w:tcBorders>
            <w:shd w:val="clear" w:color="auto" w:fill="auto"/>
            <w:vAlign w:val="center"/>
          </w:tcPr>
          <w:p w14:paraId="3DAA3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47337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C3BE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410AC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B93509D">
        <w:tblPrEx>
          <w:tblCellMar>
            <w:top w:w="0" w:type="dxa"/>
            <w:left w:w="108" w:type="dxa"/>
            <w:bottom w:w="0" w:type="dxa"/>
            <w:right w:w="108" w:type="dxa"/>
          </w:tblCellMar>
        </w:tblPrEx>
        <w:trPr>
          <w:trHeight w:val="434"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09FE97F8">
            <w:pPr>
              <w:widowControl/>
              <w:jc w:val="left"/>
              <w:rPr>
                <w:rFonts w:hint="eastAsia" w:ascii="宋体" w:hAnsi="宋体" w:cs="宋体"/>
                <w:color w:val="000000"/>
                <w:kern w:val="0"/>
                <w:sz w:val="20"/>
                <w:szCs w:val="20"/>
              </w:rPr>
            </w:pPr>
          </w:p>
        </w:tc>
        <w:tc>
          <w:tcPr>
            <w:tcW w:w="1016" w:type="pct"/>
            <w:gridSpan w:val="2"/>
            <w:tcBorders>
              <w:top w:val="single" w:color="auto" w:sz="4" w:space="0"/>
              <w:left w:val="nil"/>
              <w:bottom w:val="single" w:color="auto" w:sz="4" w:space="0"/>
              <w:right w:val="single" w:color="auto" w:sz="4" w:space="0"/>
            </w:tcBorders>
            <w:shd w:val="clear" w:color="auto" w:fill="auto"/>
            <w:vAlign w:val="center"/>
          </w:tcPr>
          <w:p w14:paraId="0718A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3" w:type="pct"/>
            <w:tcBorders>
              <w:top w:val="single" w:color="auto" w:sz="4" w:space="0"/>
              <w:left w:val="nil"/>
              <w:bottom w:val="single" w:color="auto" w:sz="4" w:space="0"/>
              <w:right w:val="single" w:color="auto" w:sz="4" w:space="0"/>
            </w:tcBorders>
            <w:shd w:val="clear" w:color="auto" w:fill="auto"/>
            <w:vAlign w:val="center"/>
          </w:tcPr>
          <w:p w14:paraId="59149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066D9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671" w:type="pct"/>
            <w:gridSpan w:val="2"/>
            <w:tcBorders>
              <w:top w:val="single" w:color="auto" w:sz="4" w:space="0"/>
              <w:left w:val="nil"/>
              <w:bottom w:val="single" w:color="auto" w:sz="4" w:space="0"/>
              <w:right w:val="single" w:color="auto" w:sz="4" w:space="0"/>
            </w:tcBorders>
            <w:shd w:val="clear" w:color="auto" w:fill="auto"/>
            <w:vAlign w:val="center"/>
          </w:tcPr>
          <w:p w14:paraId="366B4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276.23</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4DA0C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C16A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14:paraId="7D539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C808EA">
        <w:tblPrEx>
          <w:tblCellMar>
            <w:top w:w="0" w:type="dxa"/>
            <w:left w:w="108" w:type="dxa"/>
            <w:bottom w:w="0" w:type="dxa"/>
            <w:right w:w="108" w:type="dxa"/>
          </w:tblCellMar>
        </w:tblPrEx>
        <w:trPr>
          <w:trHeight w:val="434"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4B7964AC">
            <w:pPr>
              <w:widowControl/>
              <w:jc w:val="left"/>
              <w:rPr>
                <w:rFonts w:hint="eastAsia" w:ascii="宋体" w:hAnsi="宋体" w:cs="宋体"/>
                <w:color w:val="000000"/>
                <w:kern w:val="0"/>
                <w:sz w:val="20"/>
                <w:szCs w:val="20"/>
              </w:rPr>
            </w:pPr>
          </w:p>
        </w:tc>
        <w:tc>
          <w:tcPr>
            <w:tcW w:w="1016" w:type="pct"/>
            <w:gridSpan w:val="2"/>
            <w:tcBorders>
              <w:top w:val="single" w:color="auto" w:sz="4" w:space="0"/>
              <w:left w:val="nil"/>
              <w:bottom w:val="single" w:color="auto" w:sz="4" w:space="0"/>
              <w:right w:val="single" w:color="auto" w:sz="4" w:space="0"/>
            </w:tcBorders>
            <w:shd w:val="clear" w:color="auto" w:fill="auto"/>
            <w:vAlign w:val="center"/>
          </w:tcPr>
          <w:p w14:paraId="0B180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73" w:type="pct"/>
            <w:tcBorders>
              <w:top w:val="single" w:color="auto" w:sz="4" w:space="0"/>
              <w:left w:val="nil"/>
              <w:bottom w:val="single" w:color="auto" w:sz="4" w:space="0"/>
              <w:right w:val="single" w:color="auto" w:sz="4" w:space="0"/>
            </w:tcBorders>
            <w:shd w:val="clear" w:color="auto" w:fill="auto"/>
            <w:vAlign w:val="center"/>
          </w:tcPr>
          <w:p w14:paraId="33664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76415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71" w:type="pct"/>
            <w:gridSpan w:val="2"/>
            <w:tcBorders>
              <w:top w:val="single" w:color="auto" w:sz="4" w:space="0"/>
              <w:left w:val="nil"/>
              <w:bottom w:val="single" w:color="auto" w:sz="4" w:space="0"/>
              <w:right w:val="single" w:color="auto" w:sz="4" w:space="0"/>
            </w:tcBorders>
            <w:shd w:val="clear" w:color="auto" w:fill="auto"/>
            <w:vAlign w:val="center"/>
          </w:tcPr>
          <w:p w14:paraId="44214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4B428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20F8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14:paraId="37FB7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00739C">
        <w:tblPrEx>
          <w:tblCellMar>
            <w:top w:w="0" w:type="dxa"/>
            <w:left w:w="108" w:type="dxa"/>
            <w:bottom w:w="0" w:type="dxa"/>
            <w:right w:w="108" w:type="dxa"/>
          </w:tblCellMar>
        </w:tblPrEx>
        <w:trPr>
          <w:trHeight w:val="267" w:hRule="atLeast"/>
        </w:trPr>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0AC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54" w:type="pct"/>
            <w:gridSpan w:val="6"/>
            <w:tcBorders>
              <w:top w:val="single" w:color="auto" w:sz="4" w:space="0"/>
              <w:left w:val="nil"/>
              <w:bottom w:val="single" w:color="auto" w:sz="4" w:space="0"/>
              <w:right w:val="single" w:color="auto" w:sz="4" w:space="0"/>
            </w:tcBorders>
            <w:shd w:val="clear" w:color="auto" w:fill="auto"/>
            <w:vAlign w:val="center"/>
          </w:tcPr>
          <w:p w14:paraId="3CB83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96" w:type="pct"/>
            <w:gridSpan w:val="7"/>
            <w:tcBorders>
              <w:top w:val="single" w:color="auto" w:sz="4" w:space="0"/>
              <w:left w:val="nil"/>
              <w:bottom w:val="single" w:color="auto" w:sz="4" w:space="0"/>
              <w:right w:val="single" w:color="auto" w:sz="4" w:space="0"/>
            </w:tcBorders>
            <w:shd w:val="clear" w:color="auto" w:fill="auto"/>
            <w:vAlign w:val="center"/>
          </w:tcPr>
          <w:p w14:paraId="032EF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DF6A2C">
        <w:tblPrEx>
          <w:tblCellMar>
            <w:top w:w="0" w:type="dxa"/>
            <w:left w:w="108" w:type="dxa"/>
            <w:bottom w:w="0" w:type="dxa"/>
            <w:right w:w="108" w:type="dxa"/>
          </w:tblCellMar>
        </w:tblPrEx>
        <w:trPr>
          <w:trHeight w:val="2672"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555FF0BA">
            <w:pPr>
              <w:widowControl/>
              <w:jc w:val="left"/>
              <w:rPr>
                <w:rFonts w:hint="eastAsia" w:ascii="宋体" w:hAnsi="宋体" w:cs="宋体"/>
                <w:color w:val="000000"/>
                <w:kern w:val="0"/>
                <w:sz w:val="20"/>
                <w:szCs w:val="20"/>
              </w:rPr>
            </w:pPr>
          </w:p>
        </w:tc>
        <w:tc>
          <w:tcPr>
            <w:tcW w:w="2754" w:type="pct"/>
            <w:gridSpan w:val="6"/>
            <w:tcBorders>
              <w:top w:val="single" w:color="auto" w:sz="4" w:space="0"/>
              <w:left w:val="single" w:color="auto" w:sz="4" w:space="0"/>
              <w:bottom w:val="single" w:color="auto" w:sz="4" w:space="0"/>
              <w:right w:val="single" w:color="auto" w:sz="4" w:space="0"/>
            </w:tcBorders>
            <w:shd w:val="clear" w:color="auto" w:fill="auto"/>
          </w:tcPr>
          <w:p w14:paraId="5CA30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根据《关于印发，</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关于进一步完善利益联结机制推进产业扶贫的意见</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的通知》（新扶贫领字</w:t>
            </w:r>
            <w:r>
              <w:rPr>
                <w:rFonts w:hint="eastAsia" w:ascii="宋体" w:hAnsi="宋体" w:cs="宋体"/>
                <w:color w:val="000000"/>
                <w:kern w:val="0"/>
                <w:sz w:val="20"/>
                <w:szCs w:val="20"/>
                <w:lang w:eastAsia="zh-CN"/>
              </w:rPr>
              <w:t>〔2018〕81号</w:t>
            </w:r>
            <w:r>
              <w:rPr>
                <w:rFonts w:hint="eastAsia" w:ascii="宋体" w:hAnsi="宋体" w:cs="宋体"/>
                <w:color w:val="000000"/>
                <w:kern w:val="0"/>
                <w:sz w:val="20"/>
                <w:szCs w:val="20"/>
              </w:rPr>
              <w:t>）要求，以及自治区分公司与自治区扶贫部门达成的合作意向，全力惠及和改善民生，凝心聚力脱贫攻坚，充分发挥保险助推脱贫攻坚工作的效果体现中国人保险作为国有大型保险企业的社会责任，乙方制定了“政府扶贫救助保险方案”，包含</w:t>
            </w:r>
            <w:r>
              <w:rPr>
                <w:rFonts w:hint="eastAsia" w:ascii="宋体" w:hAnsi="宋体" w:cs="宋体"/>
                <w:color w:val="000000"/>
                <w:kern w:val="0"/>
                <w:sz w:val="20"/>
                <w:szCs w:val="20"/>
                <w:lang w:eastAsia="zh-CN"/>
              </w:rPr>
              <w:t>见义勇为</w:t>
            </w:r>
            <w:r>
              <w:rPr>
                <w:rFonts w:hint="eastAsia" w:ascii="宋体" w:hAnsi="宋体" w:cs="宋体"/>
                <w:color w:val="000000"/>
                <w:kern w:val="0"/>
                <w:sz w:val="20"/>
                <w:szCs w:val="20"/>
              </w:rPr>
              <w:t>，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96" w:type="pct"/>
            <w:gridSpan w:val="7"/>
            <w:tcBorders>
              <w:top w:val="single" w:color="auto" w:sz="4" w:space="0"/>
              <w:left w:val="single" w:color="auto" w:sz="4" w:space="0"/>
              <w:bottom w:val="single" w:color="auto" w:sz="4" w:space="0"/>
              <w:right w:val="single" w:color="auto" w:sz="4" w:space="0"/>
            </w:tcBorders>
            <w:shd w:val="clear" w:color="auto" w:fill="auto"/>
          </w:tcPr>
          <w:p w14:paraId="74E644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14:paraId="4E9F8A3E">
        <w:tblPrEx>
          <w:tblCellMar>
            <w:top w:w="0" w:type="dxa"/>
            <w:left w:w="108" w:type="dxa"/>
            <w:bottom w:w="0" w:type="dxa"/>
            <w:right w:w="108" w:type="dxa"/>
          </w:tblCellMar>
        </w:tblPrEx>
        <w:trPr>
          <w:trHeight w:val="312" w:hRule="atLeast"/>
        </w:trPr>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F8FB51">
            <w:pPr>
              <w:widowControl/>
              <w:jc w:val="center"/>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CE2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3D2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3F2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616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0C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F85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39D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FAE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5B3264">
        <w:tblPrEx>
          <w:tblCellMar>
            <w:top w:w="0" w:type="dxa"/>
            <w:left w:w="108" w:type="dxa"/>
            <w:bottom w:w="0" w:type="dxa"/>
            <w:right w:w="108" w:type="dxa"/>
          </w:tblCellMar>
        </w:tblPrEx>
        <w:trPr>
          <w:trHeight w:val="475"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598759FE">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38944D93">
            <w:pPr>
              <w:widowControl/>
              <w:jc w:val="left"/>
              <w:rPr>
                <w:rFonts w:hint="eastAsia" w:ascii="宋体" w:hAnsi="宋体" w:cs="宋体"/>
                <w:color w:val="000000"/>
                <w:kern w:val="0"/>
                <w:sz w:val="20"/>
                <w:szCs w:val="20"/>
              </w:rPr>
            </w:pPr>
          </w:p>
        </w:tc>
        <w:tc>
          <w:tcPr>
            <w:tcW w:w="675" w:type="pct"/>
            <w:vMerge w:val="continue"/>
            <w:tcBorders>
              <w:top w:val="single" w:color="auto" w:sz="4" w:space="0"/>
              <w:left w:val="single" w:color="auto" w:sz="4" w:space="0"/>
              <w:bottom w:val="single" w:color="auto" w:sz="4" w:space="0"/>
              <w:right w:val="single" w:color="auto" w:sz="4" w:space="0"/>
            </w:tcBorders>
            <w:vAlign w:val="center"/>
          </w:tcPr>
          <w:p w14:paraId="2C70D440">
            <w:pPr>
              <w:widowControl/>
              <w:jc w:val="left"/>
              <w:rPr>
                <w:rFonts w:hint="eastAsia" w:ascii="宋体" w:hAnsi="宋体" w:cs="宋体"/>
                <w:color w:val="000000"/>
                <w:kern w:val="0"/>
                <w:sz w:val="20"/>
                <w:szCs w:val="20"/>
              </w:rPr>
            </w:pPr>
          </w:p>
        </w:tc>
        <w:tc>
          <w:tcPr>
            <w:tcW w:w="1276" w:type="pct"/>
            <w:gridSpan w:val="3"/>
            <w:vMerge w:val="continue"/>
            <w:tcBorders>
              <w:top w:val="single" w:color="auto" w:sz="4" w:space="0"/>
              <w:left w:val="single" w:color="auto" w:sz="4" w:space="0"/>
              <w:bottom w:val="single" w:color="auto" w:sz="4" w:space="0"/>
              <w:right w:val="single" w:color="auto" w:sz="4" w:space="0"/>
            </w:tcBorders>
            <w:vAlign w:val="center"/>
          </w:tcPr>
          <w:p w14:paraId="7F8B588A">
            <w:pPr>
              <w:widowControl/>
              <w:jc w:val="left"/>
              <w:rPr>
                <w:rFonts w:hint="eastAsia" w:ascii="宋体" w:hAnsi="宋体" w:cs="宋体"/>
                <w:color w:val="000000"/>
                <w:kern w:val="0"/>
                <w:sz w:val="20"/>
                <w:szCs w:val="20"/>
              </w:rPr>
            </w:pPr>
          </w:p>
        </w:tc>
        <w:tc>
          <w:tcPr>
            <w:tcW w:w="552" w:type="pct"/>
            <w:vMerge w:val="continue"/>
            <w:tcBorders>
              <w:top w:val="single" w:color="auto" w:sz="4" w:space="0"/>
              <w:left w:val="single" w:color="auto" w:sz="4" w:space="0"/>
              <w:bottom w:val="single" w:color="auto" w:sz="4" w:space="0"/>
              <w:right w:val="single" w:color="auto" w:sz="4" w:space="0"/>
            </w:tcBorders>
            <w:vAlign w:val="center"/>
          </w:tcPr>
          <w:p w14:paraId="1FD0964E">
            <w:pPr>
              <w:widowControl/>
              <w:jc w:val="left"/>
              <w:rPr>
                <w:rFonts w:hint="eastAsia" w:ascii="宋体" w:hAnsi="宋体" w:cs="宋体"/>
                <w:color w:val="000000"/>
                <w:kern w:val="0"/>
                <w:sz w:val="20"/>
                <w:szCs w:val="20"/>
              </w:rPr>
            </w:pPr>
          </w:p>
        </w:tc>
        <w:tc>
          <w:tcPr>
            <w:tcW w:w="491" w:type="pct"/>
            <w:vMerge w:val="continue"/>
            <w:tcBorders>
              <w:top w:val="single" w:color="auto" w:sz="4" w:space="0"/>
              <w:left w:val="single" w:color="auto" w:sz="4" w:space="0"/>
              <w:bottom w:val="single" w:color="auto" w:sz="4" w:space="0"/>
              <w:right w:val="single" w:color="auto" w:sz="4" w:space="0"/>
            </w:tcBorders>
            <w:vAlign w:val="center"/>
          </w:tcPr>
          <w:p w14:paraId="2022DEAB">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74C4FFAA">
            <w:pPr>
              <w:widowControl/>
              <w:jc w:val="left"/>
              <w:rPr>
                <w:rFonts w:hint="eastAsia" w:ascii="宋体" w:hAnsi="宋体" w:cs="宋体"/>
                <w:color w:val="000000"/>
                <w:kern w:val="0"/>
                <w:sz w:val="20"/>
                <w:szCs w:val="20"/>
              </w:rPr>
            </w:pPr>
          </w:p>
        </w:tc>
        <w:tc>
          <w:tcPr>
            <w:tcW w:w="318" w:type="pct"/>
            <w:gridSpan w:val="2"/>
            <w:vMerge w:val="continue"/>
            <w:tcBorders>
              <w:top w:val="single" w:color="auto" w:sz="4" w:space="0"/>
              <w:left w:val="single" w:color="auto" w:sz="4" w:space="0"/>
              <w:bottom w:val="single" w:color="auto" w:sz="4" w:space="0"/>
              <w:right w:val="single" w:color="auto" w:sz="4" w:space="0"/>
            </w:tcBorders>
            <w:vAlign w:val="center"/>
          </w:tcPr>
          <w:p w14:paraId="449109C7">
            <w:pPr>
              <w:widowControl/>
              <w:jc w:val="left"/>
              <w:rPr>
                <w:rFonts w:hint="eastAsia" w:ascii="宋体" w:hAnsi="宋体" w:cs="宋体"/>
                <w:color w:val="000000"/>
                <w:kern w:val="0"/>
                <w:sz w:val="20"/>
                <w:szCs w:val="20"/>
              </w:rPr>
            </w:pPr>
          </w:p>
        </w:tc>
        <w:tc>
          <w:tcPr>
            <w:tcW w:w="875" w:type="pct"/>
            <w:gridSpan w:val="2"/>
            <w:vMerge w:val="continue"/>
            <w:tcBorders>
              <w:top w:val="single" w:color="auto" w:sz="4" w:space="0"/>
              <w:left w:val="single" w:color="auto" w:sz="4" w:space="0"/>
              <w:bottom w:val="single" w:color="auto" w:sz="4" w:space="0"/>
              <w:right w:val="single" w:color="auto" w:sz="4" w:space="0"/>
            </w:tcBorders>
            <w:vAlign w:val="center"/>
          </w:tcPr>
          <w:p w14:paraId="0B30FC3A">
            <w:pPr>
              <w:widowControl/>
              <w:jc w:val="left"/>
              <w:rPr>
                <w:rFonts w:hint="eastAsia" w:ascii="宋体" w:hAnsi="宋体" w:cs="宋体"/>
                <w:color w:val="000000"/>
                <w:kern w:val="0"/>
                <w:sz w:val="20"/>
                <w:szCs w:val="20"/>
              </w:rPr>
            </w:pPr>
          </w:p>
        </w:tc>
      </w:tr>
      <w:tr w14:paraId="78F46517">
        <w:tblPrEx>
          <w:tblCellMar>
            <w:top w:w="0" w:type="dxa"/>
            <w:left w:w="108" w:type="dxa"/>
            <w:bottom w:w="0" w:type="dxa"/>
            <w:right w:w="108" w:type="dxa"/>
          </w:tblCellMar>
        </w:tblPrEx>
        <w:trPr>
          <w:trHeight w:val="397" w:hRule="atLeast"/>
        </w:trPr>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8D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D3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7B41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17B9B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承保投保人数</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4E0E4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&gt;=68000人</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439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=68000人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A0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213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BAAC2">
            <w:pPr>
              <w:widowControl/>
              <w:jc w:val="center"/>
              <w:rPr>
                <w:rFonts w:hint="eastAsia" w:ascii="宋体" w:hAnsi="宋体" w:cs="宋体"/>
                <w:color w:val="000000"/>
                <w:kern w:val="0"/>
                <w:sz w:val="20"/>
                <w:szCs w:val="20"/>
              </w:rPr>
            </w:pPr>
          </w:p>
        </w:tc>
      </w:tr>
      <w:tr w14:paraId="727E9D52">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52D71373">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2011F26E">
            <w:pPr>
              <w:widowControl/>
              <w:jc w:val="left"/>
              <w:rPr>
                <w:rFonts w:hint="eastAsia" w:ascii="宋体" w:hAnsi="宋体" w:cs="宋体"/>
                <w:color w:val="000000"/>
                <w:kern w:val="0"/>
                <w:sz w:val="20"/>
                <w:szCs w:val="20"/>
              </w:rPr>
            </w:pP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6B8E1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5EE4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符合条件的投保保险赔付率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6191F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38F79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DD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14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BA231">
            <w:pPr>
              <w:widowControl/>
              <w:jc w:val="center"/>
              <w:rPr>
                <w:rFonts w:hint="eastAsia" w:ascii="宋体" w:hAnsi="宋体" w:cs="宋体"/>
                <w:color w:val="000000"/>
                <w:kern w:val="0"/>
                <w:sz w:val="20"/>
                <w:szCs w:val="20"/>
              </w:rPr>
            </w:pPr>
          </w:p>
        </w:tc>
      </w:tr>
      <w:tr w14:paraId="7712B3E1">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7E6645BA">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348DE2FD">
            <w:pPr>
              <w:widowControl/>
              <w:jc w:val="left"/>
              <w:rPr>
                <w:rFonts w:hint="eastAsia" w:ascii="宋体" w:hAnsi="宋体" w:cs="宋体"/>
                <w:color w:val="000000"/>
                <w:kern w:val="0"/>
                <w:sz w:val="20"/>
                <w:szCs w:val="20"/>
              </w:rPr>
            </w:pP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4249C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298A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保险金理赔标准执行率（%）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0BAC6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F870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4A0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AA9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B55DD3">
            <w:pPr>
              <w:widowControl/>
              <w:jc w:val="center"/>
              <w:rPr>
                <w:rFonts w:hint="eastAsia" w:ascii="宋体" w:hAnsi="宋体" w:cs="宋体"/>
                <w:color w:val="000000"/>
                <w:kern w:val="0"/>
                <w:sz w:val="20"/>
                <w:szCs w:val="20"/>
              </w:rPr>
            </w:pPr>
          </w:p>
        </w:tc>
      </w:tr>
      <w:tr w14:paraId="0DC84158">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238BA8C4">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3FD61B94">
            <w:pPr>
              <w:widowControl/>
              <w:jc w:val="left"/>
              <w:rPr>
                <w:rFonts w:hint="eastAsia" w:ascii="宋体" w:hAnsi="宋体" w:cs="宋体"/>
                <w:color w:val="000000"/>
                <w:kern w:val="0"/>
                <w:sz w:val="20"/>
                <w:szCs w:val="20"/>
              </w:rPr>
            </w:pP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13ECD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FC0EC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保险赔付及时率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27317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F263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399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C80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782AC1">
            <w:pPr>
              <w:widowControl/>
              <w:jc w:val="center"/>
              <w:rPr>
                <w:rFonts w:hint="eastAsia" w:ascii="宋体" w:hAnsi="宋体" w:cs="宋体"/>
                <w:color w:val="000000"/>
                <w:kern w:val="0"/>
                <w:sz w:val="20"/>
                <w:szCs w:val="20"/>
              </w:rPr>
            </w:pPr>
          </w:p>
        </w:tc>
      </w:tr>
      <w:tr w14:paraId="576C5C22">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567F9247">
            <w:pPr>
              <w:widowControl/>
              <w:jc w:val="left"/>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1B8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76490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9EC5E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保费标准</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2BE52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&lt;=53元/人</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0911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=53元/人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BA9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88D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A17A47">
            <w:pPr>
              <w:widowControl/>
              <w:jc w:val="center"/>
              <w:rPr>
                <w:rFonts w:hint="eastAsia" w:ascii="宋体" w:hAnsi="宋体" w:cs="宋体"/>
                <w:color w:val="000000"/>
                <w:kern w:val="0"/>
                <w:sz w:val="20"/>
                <w:szCs w:val="20"/>
              </w:rPr>
            </w:pPr>
          </w:p>
        </w:tc>
      </w:tr>
      <w:tr w14:paraId="6EFC4A95">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73176621">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63B601C3">
            <w:pPr>
              <w:widowControl/>
              <w:jc w:val="left"/>
              <w:rPr>
                <w:rFonts w:hint="eastAsia" w:ascii="宋体" w:hAnsi="宋体" w:cs="宋体"/>
                <w:color w:val="000000"/>
                <w:kern w:val="0"/>
                <w:sz w:val="20"/>
                <w:szCs w:val="20"/>
              </w:rPr>
            </w:pP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586E8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349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2871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3CFD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F9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9A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B67FCF">
            <w:pPr>
              <w:widowControl/>
              <w:jc w:val="center"/>
              <w:rPr>
                <w:rFonts w:hint="eastAsia" w:ascii="宋体" w:hAnsi="宋体" w:cs="宋体"/>
                <w:color w:val="000000"/>
                <w:kern w:val="0"/>
                <w:sz w:val="20"/>
                <w:szCs w:val="20"/>
              </w:rPr>
            </w:pPr>
          </w:p>
        </w:tc>
      </w:tr>
      <w:tr w14:paraId="015D0100">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603854F8">
            <w:pPr>
              <w:widowControl/>
              <w:jc w:val="left"/>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209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3A672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4967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保险理赔到位率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75242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7166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7BC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7DA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09B9D1">
            <w:pPr>
              <w:widowControl/>
              <w:jc w:val="center"/>
              <w:rPr>
                <w:rFonts w:hint="eastAsia" w:ascii="宋体" w:hAnsi="宋体" w:cs="宋体"/>
                <w:color w:val="000000"/>
                <w:kern w:val="0"/>
                <w:sz w:val="20"/>
                <w:szCs w:val="20"/>
              </w:rPr>
            </w:pPr>
          </w:p>
        </w:tc>
      </w:tr>
      <w:tr w14:paraId="0A8664D4">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67FC03F6">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14:paraId="4A30DF97">
            <w:pPr>
              <w:widowControl/>
              <w:jc w:val="left"/>
              <w:rPr>
                <w:rFonts w:hint="eastAsia" w:ascii="宋体" w:hAnsi="宋体" w:cs="宋体"/>
                <w:color w:val="000000"/>
                <w:kern w:val="0"/>
                <w:sz w:val="20"/>
                <w:szCs w:val="20"/>
              </w:rPr>
            </w:pP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4FFE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765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脱贫成果巩固情况</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4127A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较好</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8A31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较好</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D00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DDC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FB50C0">
            <w:pPr>
              <w:widowControl/>
              <w:jc w:val="center"/>
              <w:rPr>
                <w:rFonts w:hint="eastAsia" w:ascii="宋体" w:hAnsi="宋体" w:cs="宋体"/>
                <w:color w:val="000000"/>
                <w:kern w:val="0"/>
                <w:sz w:val="20"/>
                <w:szCs w:val="20"/>
              </w:rPr>
            </w:pPr>
          </w:p>
        </w:tc>
      </w:tr>
      <w:tr w14:paraId="71C2771E">
        <w:tblPrEx>
          <w:tblCellMar>
            <w:top w:w="0" w:type="dxa"/>
            <w:left w:w="108" w:type="dxa"/>
            <w:bottom w:w="0" w:type="dxa"/>
            <w:right w:w="108" w:type="dxa"/>
          </w:tblCellMar>
        </w:tblPrEx>
        <w:trPr>
          <w:trHeight w:val="397" w:hRule="atLeast"/>
        </w:trPr>
        <w:tc>
          <w:tcPr>
            <w:tcW w:w="249" w:type="pct"/>
            <w:vMerge w:val="continue"/>
            <w:tcBorders>
              <w:top w:val="single" w:color="auto" w:sz="4" w:space="0"/>
              <w:left w:val="single" w:color="auto" w:sz="4" w:space="0"/>
              <w:bottom w:val="single" w:color="auto" w:sz="4" w:space="0"/>
              <w:right w:val="single" w:color="auto" w:sz="4" w:space="0"/>
            </w:tcBorders>
            <w:vAlign w:val="center"/>
          </w:tcPr>
          <w:p w14:paraId="09887899">
            <w:pPr>
              <w:widowControl/>
              <w:jc w:val="left"/>
              <w:rPr>
                <w:rFonts w:hint="eastAsia" w:ascii="宋体" w:hAnsi="宋体" w:cs="宋体"/>
                <w:color w:val="000000"/>
                <w:kern w:val="0"/>
                <w:sz w:val="20"/>
                <w:szCs w:val="20"/>
              </w:rPr>
            </w:pPr>
          </w:p>
        </w:tc>
        <w:tc>
          <w:tcPr>
            <w:tcW w:w="249" w:type="pct"/>
            <w:tcBorders>
              <w:top w:val="single" w:color="auto" w:sz="4" w:space="0"/>
              <w:left w:val="single" w:color="auto" w:sz="4" w:space="0"/>
              <w:bottom w:val="single" w:color="auto" w:sz="4" w:space="0"/>
              <w:right w:val="single" w:color="auto" w:sz="4" w:space="0"/>
            </w:tcBorders>
            <w:shd w:val="clear" w:color="auto" w:fill="auto"/>
            <w:vAlign w:val="center"/>
          </w:tcPr>
          <w:p w14:paraId="53874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5" w:type="pct"/>
            <w:tcBorders>
              <w:top w:val="single" w:color="auto" w:sz="4" w:space="0"/>
              <w:left w:val="single" w:color="auto" w:sz="4" w:space="0"/>
              <w:bottom w:val="single" w:color="auto" w:sz="4" w:space="0"/>
              <w:right w:val="single" w:color="auto" w:sz="4" w:space="0"/>
            </w:tcBorders>
            <w:shd w:val="clear" w:color="auto" w:fill="auto"/>
            <w:vAlign w:val="center"/>
          </w:tcPr>
          <w:p w14:paraId="07D26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ADAB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796D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50F22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237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E86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0487CB">
            <w:pPr>
              <w:widowControl/>
              <w:jc w:val="center"/>
              <w:rPr>
                <w:rFonts w:hint="eastAsia" w:ascii="宋体" w:hAnsi="宋体" w:cs="宋体"/>
                <w:color w:val="000000"/>
                <w:kern w:val="0"/>
                <w:sz w:val="20"/>
                <w:szCs w:val="20"/>
              </w:rPr>
            </w:pPr>
          </w:p>
        </w:tc>
      </w:tr>
      <w:tr w14:paraId="121A6BB7">
        <w:tblPrEx>
          <w:tblCellMar>
            <w:top w:w="0" w:type="dxa"/>
            <w:left w:w="108" w:type="dxa"/>
            <w:bottom w:w="0" w:type="dxa"/>
            <w:right w:w="108" w:type="dxa"/>
          </w:tblCellMar>
        </w:tblPrEx>
        <w:trPr>
          <w:trHeight w:val="267" w:hRule="atLeast"/>
        </w:trPr>
        <w:tc>
          <w:tcPr>
            <w:tcW w:w="349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60B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34A83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8" w:type="pct"/>
            <w:gridSpan w:val="2"/>
            <w:tcBorders>
              <w:top w:val="single" w:color="auto" w:sz="4" w:space="0"/>
              <w:left w:val="nil"/>
              <w:bottom w:val="single" w:color="auto" w:sz="4" w:space="0"/>
              <w:right w:val="single" w:color="auto" w:sz="4" w:space="0"/>
            </w:tcBorders>
            <w:shd w:val="clear" w:color="auto" w:fill="auto"/>
            <w:vAlign w:val="center"/>
          </w:tcPr>
          <w:p w14:paraId="343D4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75" w:type="pct"/>
            <w:gridSpan w:val="2"/>
            <w:tcBorders>
              <w:top w:val="single" w:color="auto" w:sz="4" w:space="0"/>
              <w:left w:val="nil"/>
              <w:bottom w:val="single" w:color="auto" w:sz="4" w:space="0"/>
              <w:right w:val="single" w:color="auto" w:sz="4" w:space="0"/>
            </w:tcBorders>
            <w:shd w:val="clear" w:color="auto" w:fill="auto"/>
            <w:vAlign w:val="center"/>
          </w:tcPr>
          <w:p w14:paraId="2D2EE939">
            <w:pPr>
              <w:widowControl/>
              <w:jc w:val="center"/>
              <w:rPr>
                <w:rFonts w:hint="eastAsia" w:ascii="宋体" w:hAnsi="宋体" w:cs="宋体"/>
                <w:color w:val="000000"/>
                <w:kern w:val="0"/>
                <w:sz w:val="20"/>
                <w:szCs w:val="20"/>
              </w:rPr>
            </w:pPr>
          </w:p>
        </w:tc>
      </w:tr>
    </w:tbl>
    <w:p w14:paraId="650F2CB6">
      <w:pPr>
        <w:ind w:firstLine="640" w:firstLineChars="200"/>
        <w:jc w:val="left"/>
        <w:rPr>
          <w:rFonts w:hint="eastAsia" w:ascii="黑体" w:hAnsi="黑体" w:eastAsia="黑体" w:cs="宋体"/>
          <w:bCs/>
          <w:kern w:val="0"/>
          <w:sz w:val="32"/>
          <w:szCs w:val="32"/>
        </w:rPr>
      </w:pPr>
    </w:p>
    <w:p w14:paraId="68E9374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B17EDB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48DABDBD">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719F3F5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054D75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78E41A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779E7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A89F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1F8B5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D612D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40C8B6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04BB3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76EF4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6A5B81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E937CE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B2AA49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FA3C4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3E76BC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01F628E">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F149536">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3AD183B">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2873A38">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8D14552">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4F5D1F7F">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28E3AA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56C171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EBFB19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B0BCF16">
      <w:pPr>
        <w:ind w:firstLine="640" w:firstLineChars="200"/>
        <w:rPr>
          <w:rFonts w:ascii="仿宋_GB2312" w:eastAsia="仿宋_GB2312"/>
          <w:sz w:val="32"/>
          <w:szCs w:val="32"/>
        </w:rPr>
      </w:pPr>
    </w:p>
    <w:p w14:paraId="2F14368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86F9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707267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0F20B1"/>
    <w:rsid w:val="001600C0"/>
    <w:rsid w:val="001C30D9"/>
    <w:rsid w:val="001F3521"/>
    <w:rsid w:val="00213681"/>
    <w:rsid w:val="00213C59"/>
    <w:rsid w:val="00275258"/>
    <w:rsid w:val="002B3EDD"/>
    <w:rsid w:val="002C2658"/>
    <w:rsid w:val="003210CE"/>
    <w:rsid w:val="003664E3"/>
    <w:rsid w:val="003B2905"/>
    <w:rsid w:val="003F152C"/>
    <w:rsid w:val="00415CC3"/>
    <w:rsid w:val="0045190D"/>
    <w:rsid w:val="00453C0B"/>
    <w:rsid w:val="00471EDC"/>
    <w:rsid w:val="004A0E3A"/>
    <w:rsid w:val="005375C8"/>
    <w:rsid w:val="00563C48"/>
    <w:rsid w:val="00587735"/>
    <w:rsid w:val="005C1FD0"/>
    <w:rsid w:val="00605656"/>
    <w:rsid w:val="006150A3"/>
    <w:rsid w:val="00615163"/>
    <w:rsid w:val="00707D16"/>
    <w:rsid w:val="00790A07"/>
    <w:rsid w:val="007C0BC5"/>
    <w:rsid w:val="0084578B"/>
    <w:rsid w:val="008749B7"/>
    <w:rsid w:val="008F2563"/>
    <w:rsid w:val="009347E2"/>
    <w:rsid w:val="00991DCE"/>
    <w:rsid w:val="009C0B6D"/>
    <w:rsid w:val="009D26A7"/>
    <w:rsid w:val="00A1253B"/>
    <w:rsid w:val="00A47769"/>
    <w:rsid w:val="00AA6187"/>
    <w:rsid w:val="00B70D59"/>
    <w:rsid w:val="00BB21C2"/>
    <w:rsid w:val="00C236DE"/>
    <w:rsid w:val="00C3372C"/>
    <w:rsid w:val="00C4150E"/>
    <w:rsid w:val="00C62B8C"/>
    <w:rsid w:val="00C64A91"/>
    <w:rsid w:val="00D27261"/>
    <w:rsid w:val="00D61B30"/>
    <w:rsid w:val="00D77FBE"/>
    <w:rsid w:val="00D87CD6"/>
    <w:rsid w:val="00DD7FF2"/>
    <w:rsid w:val="00E16FEF"/>
    <w:rsid w:val="00EB6C69"/>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C87BDD"/>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6028</Words>
  <Characters>6933</Characters>
  <Lines>73</Lines>
  <Paragraphs>20</Paragraphs>
  <TotalTime>9</TotalTime>
  <ScaleCrop>false</ScaleCrop>
  <LinksUpToDate>false</LinksUpToDate>
  <CharactersWithSpaces>6996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2024-12-05T05:05:02Z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